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523E" w14:textId="77777777" w:rsidR="004B24BD" w:rsidRPr="004B24BD" w:rsidRDefault="004B24BD" w:rsidP="004B24BD">
      <w:pPr>
        <w:autoSpaceDE w:val="0"/>
        <w:autoSpaceDN w:val="0"/>
        <w:adjustRightInd w:val="0"/>
        <w:spacing w:after="0" w:line="240" w:lineRule="auto"/>
        <w:rPr>
          <w:rFonts w:ascii="MetaNormalLF-Roman" w:hAnsi="MetaNormalLF-Roman" w:cs="MetaNormalLF-Roman"/>
          <w:sz w:val="51"/>
          <w:szCs w:val="51"/>
        </w:rPr>
      </w:pPr>
      <w:r w:rsidRPr="004B24BD">
        <w:rPr>
          <w:rFonts w:ascii="MetaNormalLF-Roman" w:hAnsi="MetaNormalLF-Roman" w:cs="MetaNormalLF-Roman"/>
          <w:sz w:val="51"/>
          <w:szCs w:val="51"/>
        </w:rPr>
        <w:t>Report on Youth Justice</w:t>
      </w:r>
    </w:p>
    <w:p w14:paraId="6E4BDFE6" w14:textId="77777777" w:rsidR="004B24BD" w:rsidRDefault="004B24BD" w:rsidP="004B24BD">
      <w:pPr>
        <w:autoSpaceDE w:val="0"/>
        <w:autoSpaceDN w:val="0"/>
        <w:adjustRightInd w:val="0"/>
        <w:spacing w:after="0" w:line="240" w:lineRule="auto"/>
        <w:rPr>
          <w:rFonts w:ascii="MetaNormalLF-Roman" w:hAnsi="MetaNormalLF-Roman" w:cs="MetaNormalLF-Roman"/>
          <w:sz w:val="36"/>
          <w:szCs w:val="36"/>
        </w:rPr>
      </w:pPr>
      <w:r>
        <w:rPr>
          <w:rFonts w:ascii="MetaNormalLF-Roman" w:hAnsi="MetaNormalLF-Roman" w:cs="MetaNormalLF-Roman"/>
          <w:sz w:val="36"/>
          <w:szCs w:val="36"/>
        </w:rPr>
        <w:t>F</w:t>
      </w:r>
      <w:r w:rsidRPr="004B24BD">
        <w:rPr>
          <w:rFonts w:ascii="MetaNormalLF-Roman" w:hAnsi="MetaNormalLF-Roman" w:cs="MetaNormalLF-Roman"/>
          <w:sz w:val="36"/>
          <w:szCs w:val="36"/>
        </w:rPr>
        <w:t>rom Bob Atkinson AO, APM</w:t>
      </w:r>
    </w:p>
    <w:p w14:paraId="6FD9706A" w14:textId="77777777" w:rsidR="004B24BD" w:rsidRDefault="004B24BD" w:rsidP="004B24BD">
      <w:pPr>
        <w:autoSpaceDE w:val="0"/>
        <w:autoSpaceDN w:val="0"/>
        <w:adjustRightInd w:val="0"/>
        <w:spacing w:after="0" w:line="240" w:lineRule="auto"/>
        <w:rPr>
          <w:rFonts w:ascii="MetaNormalLF-Roman" w:hAnsi="MetaNormalLF-Roman" w:cs="MetaNormalLF-Roman"/>
          <w:sz w:val="36"/>
          <w:szCs w:val="36"/>
        </w:rPr>
      </w:pPr>
      <w:r>
        <w:rPr>
          <w:rFonts w:ascii="MetaNormalLF-Roman" w:hAnsi="MetaNormalLF-Roman" w:cs="MetaNormalLF-Roman"/>
          <w:sz w:val="36"/>
          <w:szCs w:val="36"/>
        </w:rPr>
        <w:t>June 2018</w:t>
      </w:r>
    </w:p>
    <w:p w14:paraId="03BA8813" w14:textId="77777777" w:rsidR="004B24BD" w:rsidRDefault="004B24BD" w:rsidP="004B24BD">
      <w:pPr>
        <w:autoSpaceDE w:val="0"/>
        <w:autoSpaceDN w:val="0"/>
        <w:adjustRightInd w:val="0"/>
        <w:spacing w:after="0" w:line="240" w:lineRule="auto"/>
        <w:rPr>
          <w:rFonts w:ascii="MetaNormalLF-Roman" w:hAnsi="MetaNormalLF-Roman" w:cs="MetaNormalLF-Roman"/>
          <w:sz w:val="36"/>
          <w:szCs w:val="36"/>
        </w:rPr>
      </w:pPr>
    </w:p>
    <w:p w14:paraId="2602F43B" w14:textId="77777777" w:rsidR="004B24BD" w:rsidRPr="004B24BD" w:rsidRDefault="004B24BD" w:rsidP="004B24BD">
      <w:pPr>
        <w:autoSpaceDE w:val="0"/>
        <w:autoSpaceDN w:val="0"/>
        <w:adjustRightInd w:val="0"/>
        <w:spacing w:after="0" w:line="240" w:lineRule="auto"/>
        <w:rPr>
          <w:rFonts w:ascii="MetaNormalLF-Roman" w:hAnsi="MetaNormalLF-Roman" w:cs="MetaNormalLF-Roman"/>
          <w:sz w:val="45"/>
          <w:szCs w:val="51"/>
        </w:rPr>
      </w:pPr>
      <w:r w:rsidRPr="004B24BD">
        <w:rPr>
          <w:rFonts w:ascii="MetaNormalLF-Roman" w:hAnsi="MetaNormalLF-Roman" w:cs="MetaNormalLF-Roman"/>
          <w:sz w:val="45"/>
          <w:szCs w:val="51"/>
        </w:rPr>
        <w:t>The Four Pillars: A Snapshot</w:t>
      </w:r>
    </w:p>
    <w:p w14:paraId="5A603F2B" w14:textId="77777777" w:rsidR="004B24BD" w:rsidRPr="004B24BD" w:rsidRDefault="004B24BD" w:rsidP="004B24BD">
      <w:pPr>
        <w:autoSpaceDE w:val="0"/>
        <w:autoSpaceDN w:val="0"/>
        <w:adjustRightInd w:val="0"/>
        <w:spacing w:after="0" w:line="240" w:lineRule="auto"/>
        <w:rPr>
          <w:rFonts w:ascii="MetaOT-Norm" w:hAnsi="MetaOT-Norm" w:cs="MetaOT-Norm"/>
        </w:rPr>
      </w:pPr>
      <w:r w:rsidRPr="004B24BD">
        <w:rPr>
          <w:rFonts w:ascii="MetaOT-Norm" w:hAnsi="MetaOT-Norm" w:cs="MetaOT-Norm"/>
        </w:rPr>
        <w:t>The Four Pillars underpin the report’</w:t>
      </w:r>
      <w:r>
        <w:rPr>
          <w:rFonts w:ascii="MetaOT-Norm" w:hAnsi="MetaOT-Norm" w:cs="MetaOT-Norm"/>
        </w:rPr>
        <w:t xml:space="preserve">s approach </w:t>
      </w:r>
      <w:r w:rsidRPr="004B24BD">
        <w:rPr>
          <w:rFonts w:ascii="MetaOT-Norm" w:hAnsi="MetaOT-Norm" w:cs="MetaOT-Norm"/>
        </w:rPr>
        <w:t>and recomme</w:t>
      </w:r>
      <w:r>
        <w:rPr>
          <w:rFonts w:ascii="MetaOT-Norm" w:hAnsi="MetaOT-Norm" w:cs="MetaOT-Norm"/>
        </w:rPr>
        <w:t xml:space="preserve">ndations. As well as addressing </w:t>
      </w:r>
      <w:r w:rsidRPr="004B24BD">
        <w:rPr>
          <w:rFonts w:ascii="MetaOT-Norm" w:hAnsi="MetaOT-Norm" w:cs="MetaOT-Norm"/>
        </w:rPr>
        <w:t>the terms of refer</w:t>
      </w:r>
      <w:r>
        <w:rPr>
          <w:rFonts w:ascii="MetaOT-Norm" w:hAnsi="MetaOT-Norm" w:cs="MetaOT-Norm"/>
        </w:rPr>
        <w:t xml:space="preserve">ence, the Four Pillars form the </w:t>
      </w:r>
      <w:r w:rsidRPr="004B24BD">
        <w:rPr>
          <w:rFonts w:ascii="MetaOT-Norm" w:hAnsi="MetaOT-Norm" w:cs="MetaOT-Norm"/>
        </w:rPr>
        <w:t>basis of the Special Advisor’</w:t>
      </w:r>
      <w:r>
        <w:rPr>
          <w:rFonts w:ascii="MetaOT-Norm" w:hAnsi="MetaOT-Norm" w:cs="MetaOT-Norm"/>
        </w:rPr>
        <w:t xml:space="preserve">s advice to the </w:t>
      </w:r>
      <w:r w:rsidRPr="004B24BD">
        <w:rPr>
          <w:rFonts w:ascii="MetaOT-Norm" w:hAnsi="MetaOT-Norm" w:cs="MetaOT-Norm"/>
        </w:rPr>
        <w:t>Minister and department.</w:t>
      </w:r>
    </w:p>
    <w:p w14:paraId="39643641" w14:textId="77777777" w:rsidR="004B24BD" w:rsidRPr="004B24BD" w:rsidRDefault="004B24BD" w:rsidP="004B24BD">
      <w:pPr>
        <w:autoSpaceDE w:val="0"/>
        <w:autoSpaceDN w:val="0"/>
        <w:adjustRightInd w:val="0"/>
        <w:spacing w:after="0" w:line="240" w:lineRule="auto"/>
        <w:rPr>
          <w:rFonts w:ascii="MetaOT-Norm" w:hAnsi="MetaOT-Norm" w:cs="MetaOT-Norm"/>
        </w:rPr>
      </w:pPr>
      <w:r w:rsidRPr="004B24BD">
        <w:rPr>
          <w:rFonts w:ascii="MetaOT-Norm" w:hAnsi="MetaOT-Norm" w:cs="MetaOT-Norm"/>
        </w:rPr>
        <w:t>The Four Pillars include:</w:t>
      </w:r>
    </w:p>
    <w:p w14:paraId="54822917" w14:textId="77777777" w:rsidR="004B24BD" w:rsidRPr="004B24BD" w:rsidRDefault="004B24BD" w:rsidP="004B24BD">
      <w:pPr>
        <w:pStyle w:val="ListParagraph"/>
        <w:numPr>
          <w:ilvl w:val="0"/>
          <w:numId w:val="2"/>
        </w:numPr>
        <w:autoSpaceDE w:val="0"/>
        <w:autoSpaceDN w:val="0"/>
        <w:adjustRightInd w:val="0"/>
        <w:spacing w:after="0" w:line="240" w:lineRule="auto"/>
        <w:rPr>
          <w:rFonts w:ascii="MetaOT-Norm" w:hAnsi="MetaOT-Norm" w:cs="MetaOT-Norm"/>
        </w:rPr>
      </w:pPr>
      <w:r w:rsidRPr="004B24BD">
        <w:rPr>
          <w:rFonts w:ascii="MetaOT-Norm" w:hAnsi="MetaOT-Norm" w:cs="MetaOT-Norm"/>
        </w:rPr>
        <w:t>Intervene early</w:t>
      </w:r>
    </w:p>
    <w:p w14:paraId="206F2A27" w14:textId="77777777" w:rsidR="004B24BD" w:rsidRPr="004B24BD" w:rsidRDefault="004B24BD" w:rsidP="004B24BD">
      <w:pPr>
        <w:pStyle w:val="ListParagraph"/>
        <w:numPr>
          <w:ilvl w:val="0"/>
          <w:numId w:val="2"/>
        </w:numPr>
        <w:autoSpaceDE w:val="0"/>
        <w:autoSpaceDN w:val="0"/>
        <w:adjustRightInd w:val="0"/>
        <w:spacing w:after="0" w:line="240" w:lineRule="auto"/>
        <w:rPr>
          <w:rFonts w:ascii="MetaOT-Norm" w:hAnsi="MetaOT-Norm" w:cs="MetaOT-Norm"/>
        </w:rPr>
      </w:pPr>
      <w:r w:rsidRPr="004B24BD">
        <w:rPr>
          <w:rFonts w:ascii="MetaOT-Norm" w:hAnsi="MetaOT-Norm" w:cs="MetaOT-Norm"/>
        </w:rPr>
        <w:t>Keep children out of court</w:t>
      </w:r>
    </w:p>
    <w:p w14:paraId="63B0E8FE" w14:textId="77777777" w:rsidR="004B24BD" w:rsidRPr="004B24BD" w:rsidRDefault="004B24BD" w:rsidP="004B24BD">
      <w:pPr>
        <w:pStyle w:val="ListParagraph"/>
        <w:numPr>
          <w:ilvl w:val="0"/>
          <w:numId w:val="2"/>
        </w:numPr>
        <w:autoSpaceDE w:val="0"/>
        <w:autoSpaceDN w:val="0"/>
        <w:adjustRightInd w:val="0"/>
        <w:spacing w:after="0" w:line="240" w:lineRule="auto"/>
        <w:rPr>
          <w:rFonts w:ascii="MetaOT-Norm" w:hAnsi="MetaOT-Norm" w:cs="MetaOT-Norm"/>
        </w:rPr>
      </w:pPr>
      <w:r w:rsidRPr="004B24BD">
        <w:rPr>
          <w:rFonts w:ascii="MetaOT-Norm" w:hAnsi="MetaOT-Norm" w:cs="MetaOT-Norm"/>
        </w:rPr>
        <w:t>Keep children out of custody</w:t>
      </w:r>
    </w:p>
    <w:p w14:paraId="14E7356A" w14:textId="77777777" w:rsidR="004B24BD" w:rsidRPr="004B24BD" w:rsidRDefault="004B24BD" w:rsidP="004B24BD">
      <w:pPr>
        <w:pStyle w:val="ListParagraph"/>
        <w:numPr>
          <w:ilvl w:val="0"/>
          <w:numId w:val="2"/>
        </w:numPr>
        <w:autoSpaceDE w:val="0"/>
        <w:autoSpaceDN w:val="0"/>
        <w:adjustRightInd w:val="0"/>
        <w:spacing w:after="0" w:line="240" w:lineRule="auto"/>
        <w:rPr>
          <w:rFonts w:ascii="MetaOT-Norm" w:hAnsi="MetaOT-Norm" w:cs="MetaOT-Norm"/>
        </w:rPr>
      </w:pPr>
      <w:r w:rsidRPr="004B24BD">
        <w:rPr>
          <w:rFonts w:ascii="MetaOT-Norm" w:hAnsi="MetaOT-Norm" w:cs="MetaOT-Norm"/>
        </w:rPr>
        <w:t>Reduce reoffending</w:t>
      </w:r>
    </w:p>
    <w:p w14:paraId="04F8CE85" w14:textId="77777777" w:rsidR="004B24BD" w:rsidRDefault="004B24BD" w:rsidP="004B24BD">
      <w:pPr>
        <w:autoSpaceDE w:val="0"/>
        <w:autoSpaceDN w:val="0"/>
        <w:adjustRightInd w:val="0"/>
        <w:spacing w:after="0" w:line="240" w:lineRule="auto"/>
        <w:rPr>
          <w:rFonts w:ascii="MetaNormalLF-Roman" w:hAnsi="MetaNormalLF-Roman" w:cs="MetaNormalLF-Roman"/>
          <w:sz w:val="26"/>
          <w:szCs w:val="26"/>
        </w:rPr>
      </w:pPr>
    </w:p>
    <w:p w14:paraId="581781D5" w14:textId="77777777" w:rsidR="004B24BD" w:rsidRDefault="004B24BD" w:rsidP="004B24BD">
      <w:pPr>
        <w:autoSpaceDE w:val="0"/>
        <w:autoSpaceDN w:val="0"/>
        <w:adjustRightInd w:val="0"/>
        <w:spacing w:after="0" w:line="240" w:lineRule="auto"/>
        <w:rPr>
          <w:rFonts w:ascii="MetaNormalLF-Roman" w:hAnsi="MetaNormalLF-Roman" w:cs="MetaNormalLF-Roman"/>
          <w:color w:val="AE182E"/>
          <w:sz w:val="51"/>
          <w:szCs w:val="51"/>
        </w:rPr>
      </w:pPr>
      <w:r>
        <w:rPr>
          <w:rFonts w:ascii="MetaNormalLF-Roman" w:hAnsi="MetaNormalLF-Roman" w:cs="MetaNormalLF-Roman"/>
          <w:color w:val="AE182E"/>
          <w:sz w:val="51"/>
          <w:szCs w:val="51"/>
        </w:rPr>
        <w:t>The Four Pillars: A Snapshot</w:t>
      </w:r>
    </w:p>
    <w:p w14:paraId="18DCA717" w14:textId="77777777" w:rsidR="004B24BD" w:rsidRDefault="004B24BD" w:rsidP="004B24BD">
      <w:pPr>
        <w:autoSpaceDE w:val="0"/>
        <w:autoSpaceDN w:val="0"/>
        <w:adjustRightInd w:val="0"/>
        <w:spacing w:after="0" w:line="240" w:lineRule="auto"/>
        <w:rPr>
          <w:rFonts w:ascii="MetaOT-Light" w:hAnsi="MetaOT-Light" w:cs="MetaOT-Light"/>
          <w:color w:val="AE182E"/>
          <w:sz w:val="36"/>
          <w:szCs w:val="36"/>
        </w:rPr>
      </w:pPr>
      <w:r>
        <w:rPr>
          <w:rFonts w:ascii="MetaOT-Norm" w:hAnsi="MetaOT-Norm" w:cs="MetaOT-Norm"/>
          <w:color w:val="AE182E"/>
          <w:sz w:val="36"/>
          <w:szCs w:val="36"/>
        </w:rPr>
        <w:t xml:space="preserve">1. </w:t>
      </w:r>
      <w:r>
        <w:rPr>
          <w:rFonts w:ascii="MetaOT-Light" w:hAnsi="MetaOT-Light" w:cs="MetaOT-Light"/>
          <w:color w:val="AE182E"/>
          <w:sz w:val="36"/>
          <w:szCs w:val="36"/>
        </w:rPr>
        <w:t>Intervene early</w:t>
      </w:r>
    </w:p>
    <w:p w14:paraId="6402E79C" w14:textId="77777777" w:rsidR="004B24BD" w:rsidRDefault="004B24BD" w:rsidP="004B24BD">
      <w:pPr>
        <w:autoSpaceDE w:val="0"/>
        <w:autoSpaceDN w:val="0"/>
        <w:adjustRightInd w:val="0"/>
        <w:spacing w:after="0" w:line="240" w:lineRule="auto"/>
        <w:rPr>
          <w:rFonts w:ascii="MetaOT-Medi" w:hAnsi="MetaOT-Medi" w:cs="MetaOT-Medi"/>
          <w:color w:val="FFFFFF"/>
          <w:sz w:val="24"/>
          <w:szCs w:val="24"/>
        </w:rPr>
      </w:pPr>
      <w:r>
        <w:rPr>
          <w:rFonts w:ascii="MetaOT-Medi" w:hAnsi="MetaOT-Medi" w:cs="MetaOT-Medi"/>
          <w:color w:val="FFFFFF"/>
          <w:sz w:val="24"/>
          <w:szCs w:val="24"/>
        </w:rPr>
        <w:t>The facts:</w:t>
      </w:r>
    </w:p>
    <w:p w14:paraId="5E7C25BC" w14:textId="77777777" w:rsidR="004B24BD" w:rsidRPr="004B24BD" w:rsidRDefault="004B24BD" w:rsidP="004B24BD">
      <w:pPr>
        <w:pStyle w:val="ListParagraph"/>
        <w:numPr>
          <w:ilvl w:val="0"/>
          <w:numId w:val="3"/>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13% of children in the youth justice system are subject to Care and Protection Orders.</w:t>
      </w:r>
    </w:p>
    <w:p w14:paraId="5BC083DF" w14:textId="77777777" w:rsidR="004B24BD" w:rsidRPr="004B24BD" w:rsidRDefault="004B24BD" w:rsidP="004B24BD">
      <w:pPr>
        <w:pStyle w:val="ListParagraph"/>
        <w:numPr>
          <w:ilvl w:val="0"/>
          <w:numId w:val="3"/>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83% of children in the youth justice system were known to the child protection system already.</w:t>
      </w:r>
    </w:p>
    <w:p w14:paraId="038FF568" w14:textId="77777777" w:rsidR="004B24BD" w:rsidRDefault="004B24BD" w:rsidP="004B24BD">
      <w:pPr>
        <w:pStyle w:val="ListParagraph"/>
        <w:numPr>
          <w:ilvl w:val="0"/>
          <w:numId w:val="3"/>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 xml:space="preserve">Only 30% of children in the youth justice system of compulsory school age (aged 15 and under) regularly attended school. </w:t>
      </w:r>
    </w:p>
    <w:p w14:paraId="44C63FC4" w14:textId="77777777" w:rsidR="004B24BD" w:rsidRDefault="004B24BD" w:rsidP="004B24BD">
      <w:pPr>
        <w:pStyle w:val="ListParagraph"/>
        <w:numPr>
          <w:ilvl w:val="1"/>
          <w:numId w:val="3"/>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From 2013–17 the total number of disciplinary</w:t>
      </w:r>
      <w:r>
        <w:rPr>
          <w:rFonts w:ascii="MetaOT-Norm" w:hAnsi="MetaOT-Norm" w:cs="MetaOT-Norm"/>
          <w:color w:val="000000"/>
        </w:rPr>
        <w:t xml:space="preserve"> </w:t>
      </w:r>
      <w:r w:rsidRPr="004B24BD">
        <w:rPr>
          <w:rFonts w:ascii="MetaOT-Norm" w:hAnsi="MetaOT-Norm" w:cs="MetaOT-Norm"/>
          <w:color w:val="000000"/>
        </w:rPr>
        <w:t>absences in Queensland increased by 24%.</w:t>
      </w:r>
    </w:p>
    <w:p w14:paraId="048929C2" w14:textId="77777777" w:rsidR="004B24BD" w:rsidRPr="004B24BD" w:rsidRDefault="004B24BD" w:rsidP="004B24BD">
      <w:pPr>
        <w:pStyle w:val="ListParagraph"/>
        <w:numPr>
          <w:ilvl w:val="0"/>
          <w:numId w:val="3"/>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Every dollar spent on flexible learning</w:t>
      </w:r>
      <w:r>
        <w:rPr>
          <w:rFonts w:ascii="MetaOT-Norm" w:hAnsi="MetaOT-Norm" w:cs="MetaOT-Norm"/>
          <w:color w:val="000000"/>
        </w:rPr>
        <w:t xml:space="preserve"> </w:t>
      </w:r>
      <w:r w:rsidRPr="004B24BD">
        <w:rPr>
          <w:rFonts w:ascii="MetaOT-Norm" w:hAnsi="MetaOT-Norm" w:cs="MetaOT-Norm"/>
          <w:color w:val="000000"/>
        </w:rPr>
        <w:t>options for young people generates $25 in</w:t>
      </w:r>
      <w:r>
        <w:rPr>
          <w:rFonts w:ascii="MetaOT-Norm" w:hAnsi="MetaOT-Norm" w:cs="MetaOT-Norm"/>
          <w:color w:val="000000"/>
        </w:rPr>
        <w:t xml:space="preserve"> </w:t>
      </w:r>
      <w:r w:rsidRPr="004B24BD">
        <w:rPr>
          <w:rFonts w:ascii="MetaOT-Norm" w:hAnsi="MetaOT-Norm" w:cs="MetaOT-Norm"/>
          <w:color w:val="000000"/>
        </w:rPr>
        <w:t>socio</w:t>
      </w:r>
      <w:r>
        <w:rPr>
          <w:rFonts w:ascii="MetaOT-Norm" w:hAnsi="MetaOT-Norm" w:cs="MetaOT-Norm"/>
          <w:color w:val="000000"/>
        </w:rPr>
        <w:t>-</w:t>
      </w:r>
      <w:r w:rsidRPr="004B24BD">
        <w:rPr>
          <w:rFonts w:ascii="MetaOT-Norm" w:hAnsi="MetaOT-Norm" w:cs="MetaOT-Norm"/>
          <w:color w:val="000000"/>
        </w:rPr>
        <w:t>economic returns and saves $32,000 in</w:t>
      </w:r>
      <w:r>
        <w:rPr>
          <w:rFonts w:ascii="MetaOT-Norm" w:hAnsi="MetaOT-Norm" w:cs="MetaOT-Norm"/>
          <w:color w:val="000000"/>
        </w:rPr>
        <w:t xml:space="preserve"> </w:t>
      </w:r>
      <w:r w:rsidRPr="004B24BD">
        <w:rPr>
          <w:rFonts w:ascii="MetaOT-Norm" w:hAnsi="MetaOT-Norm" w:cs="MetaOT-Norm"/>
          <w:color w:val="000000"/>
        </w:rPr>
        <w:t>youth justice and welfare costs.</w:t>
      </w:r>
    </w:p>
    <w:p w14:paraId="1D13AC01" w14:textId="77777777" w:rsidR="004B24BD" w:rsidRDefault="004B24BD" w:rsidP="004B24BD">
      <w:pPr>
        <w:pStyle w:val="ListParagraph"/>
        <w:numPr>
          <w:ilvl w:val="0"/>
          <w:numId w:val="3"/>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The majority of children in the youth justice system</w:t>
      </w:r>
      <w:r>
        <w:rPr>
          <w:rFonts w:ascii="MetaOT-Norm" w:hAnsi="MetaOT-Norm" w:cs="MetaOT-Norm"/>
          <w:color w:val="000000"/>
        </w:rPr>
        <w:t xml:space="preserve"> </w:t>
      </w:r>
      <w:r w:rsidRPr="004B24BD">
        <w:rPr>
          <w:rFonts w:ascii="MetaOT-Norm" w:hAnsi="MetaOT-Norm" w:cs="MetaOT-Norm"/>
          <w:color w:val="000000"/>
        </w:rPr>
        <w:t>resided in the lowest socio-economic areas.</w:t>
      </w:r>
      <w:r>
        <w:rPr>
          <w:rFonts w:ascii="MetaOT-Norm" w:hAnsi="MetaOT-Norm" w:cs="MetaOT-Norm"/>
          <w:color w:val="000000"/>
        </w:rPr>
        <w:t xml:space="preserve"> </w:t>
      </w:r>
    </w:p>
    <w:p w14:paraId="16BA6281" w14:textId="77777777" w:rsidR="004B24BD" w:rsidRDefault="004B24BD" w:rsidP="004B24BD">
      <w:pPr>
        <w:pStyle w:val="ListParagraph"/>
        <w:numPr>
          <w:ilvl w:val="1"/>
          <w:numId w:val="3"/>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42% of Aboriginal and Torres Strait Islander</w:t>
      </w:r>
      <w:r>
        <w:rPr>
          <w:rFonts w:ascii="MetaOT-Norm" w:hAnsi="MetaOT-Norm" w:cs="MetaOT-Norm"/>
          <w:color w:val="000000"/>
        </w:rPr>
        <w:t xml:space="preserve"> </w:t>
      </w:r>
      <w:r w:rsidRPr="004B24BD">
        <w:rPr>
          <w:rFonts w:ascii="MetaOT-Norm" w:hAnsi="MetaOT-Norm" w:cs="MetaOT-Norm"/>
          <w:color w:val="000000"/>
        </w:rPr>
        <w:t>children resided in these areas compared to</w:t>
      </w:r>
      <w:r>
        <w:rPr>
          <w:rFonts w:ascii="MetaOT-Norm" w:hAnsi="MetaOT-Norm" w:cs="MetaOT-Norm"/>
          <w:color w:val="000000"/>
        </w:rPr>
        <w:t xml:space="preserve"> </w:t>
      </w:r>
      <w:r w:rsidRPr="004B24BD">
        <w:rPr>
          <w:rFonts w:ascii="MetaOT-Norm" w:hAnsi="MetaOT-Norm" w:cs="MetaOT-Norm"/>
          <w:color w:val="000000"/>
        </w:rPr>
        <w:t>34% of non-indigenous children.</w:t>
      </w:r>
    </w:p>
    <w:p w14:paraId="0761B4ED" w14:textId="77777777" w:rsidR="004B24BD" w:rsidRPr="004B24BD" w:rsidRDefault="004B24BD" w:rsidP="004B24BD">
      <w:pPr>
        <w:autoSpaceDE w:val="0"/>
        <w:autoSpaceDN w:val="0"/>
        <w:adjustRightInd w:val="0"/>
        <w:spacing w:after="0" w:line="240" w:lineRule="auto"/>
        <w:rPr>
          <w:rFonts w:ascii="MetaOT-Norm" w:hAnsi="MetaOT-Norm" w:cs="MetaOT-Norm"/>
          <w:color w:val="000000"/>
        </w:rPr>
      </w:pPr>
    </w:p>
    <w:p w14:paraId="4A669534" w14:textId="77777777" w:rsidR="004B24BD" w:rsidRPr="004B24BD" w:rsidRDefault="004B24BD" w:rsidP="004B24BD">
      <w:pPr>
        <w:autoSpaceDE w:val="0"/>
        <w:autoSpaceDN w:val="0"/>
        <w:adjustRightInd w:val="0"/>
        <w:spacing w:after="0" w:line="240" w:lineRule="auto"/>
        <w:rPr>
          <w:rFonts w:ascii="MetaOT-Medi" w:hAnsi="MetaOT-Medi" w:cs="MetaOT-Medi"/>
          <w:color w:val="FFFFFF"/>
          <w:sz w:val="14"/>
          <w:szCs w:val="24"/>
        </w:rPr>
      </w:pPr>
      <w:r w:rsidRPr="004B24BD">
        <w:rPr>
          <w:rFonts w:ascii="MetaOT-Light" w:hAnsi="MetaOT-Light" w:cs="MetaOT-Light"/>
          <w:color w:val="AE182E"/>
          <w:sz w:val="26"/>
          <w:szCs w:val="36"/>
        </w:rPr>
        <w:t>Solutions</w:t>
      </w:r>
      <w:r>
        <w:rPr>
          <w:rFonts w:ascii="MetaOT-Light" w:hAnsi="MetaOT-Light" w:cs="MetaOT-Light"/>
          <w:color w:val="AE182E"/>
          <w:sz w:val="26"/>
          <w:szCs w:val="36"/>
        </w:rPr>
        <w:t>:</w:t>
      </w:r>
    </w:p>
    <w:p w14:paraId="5C76D311" w14:textId="77777777" w:rsidR="004B24BD" w:rsidRDefault="004B24BD" w:rsidP="004B24BD">
      <w:pPr>
        <w:autoSpaceDE w:val="0"/>
        <w:autoSpaceDN w:val="0"/>
        <w:adjustRightInd w:val="0"/>
        <w:spacing w:after="0" w:line="240" w:lineRule="auto"/>
        <w:rPr>
          <w:rFonts w:ascii="MetaOT-NormIta" w:hAnsi="MetaOT-NormIta" w:cs="MetaOT-NormIta"/>
          <w:color w:val="000000"/>
        </w:rPr>
      </w:pPr>
      <w:r>
        <w:rPr>
          <w:rFonts w:ascii="MetaOT-NormIta" w:hAnsi="MetaOT-NormIta" w:cs="MetaOT-NormIta"/>
          <w:color w:val="000000"/>
        </w:rPr>
        <w:t>“By intervening early when risk factors associated with antisocial or criminal behaviour are evident, there is a much greater chance of preventing a child’s later involvement in the criminal justice system and improving their life outcomes.”</w:t>
      </w:r>
    </w:p>
    <w:p w14:paraId="558C1196" w14:textId="77777777" w:rsidR="004B24BD" w:rsidRDefault="004B24BD" w:rsidP="004B24BD">
      <w:pPr>
        <w:autoSpaceDE w:val="0"/>
        <w:autoSpaceDN w:val="0"/>
        <w:adjustRightInd w:val="0"/>
        <w:spacing w:after="0" w:line="240" w:lineRule="auto"/>
        <w:rPr>
          <w:rFonts w:ascii="MetaOT-NormIta" w:hAnsi="MetaOT-NormIta" w:cs="MetaOT-NormIta"/>
          <w:color w:val="000000"/>
        </w:rPr>
      </w:pPr>
    </w:p>
    <w:p w14:paraId="798B7C3C" w14:textId="77777777" w:rsidR="004B24BD" w:rsidRPr="004B24BD" w:rsidRDefault="004B24BD" w:rsidP="004B24BD">
      <w:pPr>
        <w:autoSpaceDE w:val="0"/>
        <w:autoSpaceDN w:val="0"/>
        <w:adjustRightInd w:val="0"/>
        <w:spacing w:after="0" w:line="240" w:lineRule="auto"/>
        <w:rPr>
          <w:rFonts w:ascii="MetaOT-NormIta" w:hAnsi="MetaOT-NormIta" w:cs="MetaOT-NormIta"/>
          <w:color w:val="000000"/>
        </w:rPr>
      </w:pPr>
      <w:r>
        <w:rPr>
          <w:rFonts w:ascii="MetaOT-NormIta" w:hAnsi="MetaOT-NormIta" w:cs="MetaOT-NormIta"/>
          <w:color w:val="000000"/>
        </w:rPr>
        <w:t>“Collaboration and multi-agency responses are key to both the individual and community level crime prevention and early intervention. For Aboriginal and Torres Strait Islander children and families, culturally informed and responsive collaborations will be critical for success.”</w:t>
      </w:r>
    </w:p>
    <w:p w14:paraId="7729F458" w14:textId="77777777" w:rsidR="004B24BD" w:rsidRDefault="004B24BD" w:rsidP="004B24BD">
      <w:pPr>
        <w:autoSpaceDE w:val="0"/>
        <w:autoSpaceDN w:val="0"/>
        <w:adjustRightInd w:val="0"/>
        <w:spacing w:after="0" w:line="240" w:lineRule="auto"/>
        <w:rPr>
          <w:rFonts w:ascii="MetaNormalLF-Roman" w:hAnsi="MetaNormalLF-Roman" w:cs="MetaNormalLF-Roman"/>
          <w:sz w:val="26"/>
          <w:szCs w:val="26"/>
        </w:rPr>
      </w:pPr>
    </w:p>
    <w:p w14:paraId="1F8FB933" w14:textId="77777777" w:rsidR="004B24BD" w:rsidRDefault="004B24BD" w:rsidP="004B24BD">
      <w:pPr>
        <w:autoSpaceDE w:val="0"/>
        <w:autoSpaceDN w:val="0"/>
        <w:adjustRightInd w:val="0"/>
        <w:spacing w:after="0" w:line="240" w:lineRule="auto"/>
        <w:rPr>
          <w:rFonts w:ascii="MetaOT-Light" w:hAnsi="MetaOT-Light" w:cs="MetaOT-Light"/>
          <w:color w:val="AE182E"/>
          <w:sz w:val="36"/>
          <w:szCs w:val="36"/>
        </w:rPr>
      </w:pPr>
      <w:r>
        <w:rPr>
          <w:rFonts w:ascii="MetaOT-Norm" w:hAnsi="MetaOT-Norm" w:cs="MetaOT-Norm"/>
          <w:color w:val="AE182E"/>
          <w:sz w:val="36"/>
          <w:szCs w:val="36"/>
        </w:rPr>
        <w:t>2</w:t>
      </w:r>
      <w:r>
        <w:rPr>
          <w:rFonts w:ascii="MetaNormalLF-Roman" w:hAnsi="MetaNormalLF-Roman" w:cs="MetaNormalLF-Roman"/>
          <w:sz w:val="26"/>
          <w:szCs w:val="26"/>
        </w:rPr>
        <w:t xml:space="preserve">. </w:t>
      </w:r>
      <w:r>
        <w:rPr>
          <w:rFonts w:ascii="MetaOT-Light" w:hAnsi="MetaOT-Light" w:cs="MetaOT-Light"/>
          <w:color w:val="AE182E"/>
          <w:sz w:val="36"/>
          <w:szCs w:val="36"/>
        </w:rPr>
        <w:t>Keep children out of court</w:t>
      </w:r>
    </w:p>
    <w:p w14:paraId="67C09C49" w14:textId="77777777" w:rsidR="004B24BD" w:rsidRDefault="004B24BD" w:rsidP="004B24BD">
      <w:pPr>
        <w:autoSpaceDE w:val="0"/>
        <w:autoSpaceDN w:val="0"/>
        <w:adjustRightInd w:val="0"/>
        <w:spacing w:after="0" w:line="240" w:lineRule="auto"/>
        <w:rPr>
          <w:rFonts w:ascii="MetaOT-Medi" w:hAnsi="MetaOT-Medi" w:cs="MetaOT-Medi"/>
          <w:color w:val="FFFFFF"/>
          <w:sz w:val="24"/>
          <w:szCs w:val="24"/>
        </w:rPr>
      </w:pPr>
      <w:r>
        <w:rPr>
          <w:rFonts w:ascii="MetaOT-Medi" w:hAnsi="MetaOT-Medi" w:cs="MetaOT-Medi"/>
          <w:color w:val="FFFFFF"/>
          <w:sz w:val="24"/>
          <w:szCs w:val="24"/>
        </w:rPr>
        <w:t>The facts:</w:t>
      </w:r>
    </w:p>
    <w:p w14:paraId="633896A7" w14:textId="77777777" w:rsidR="004B24BD" w:rsidRPr="004B24BD" w:rsidRDefault="004B24BD" w:rsidP="004B24BD">
      <w:pPr>
        <w:pStyle w:val="ListParagraph"/>
        <w:numPr>
          <w:ilvl w:val="0"/>
          <w:numId w:val="5"/>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10% of child offenders are responsible for 43% of all child offences in Queensland.</w:t>
      </w:r>
    </w:p>
    <w:p w14:paraId="0CF8615C" w14:textId="77777777" w:rsidR="004B24BD" w:rsidRPr="004B24BD" w:rsidRDefault="004B24BD" w:rsidP="004B24BD">
      <w:pPr>
        <w:pStyle w:val="ListParagraph"/>
        <w:numPr>
          <w:ilvl w:val="0"/>
          <w:numId w:val="5"/>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lastRenderedPageBreak/>
        <w:t xml:space="preserve">The Queensland </w:t>
      </w:r>
      <w:r w:rsidRPr="004B24BD">
        <w:rPr>
          <w:rFonts w:ascii="MetaOT-NormIta" w:hAnsi="MetaOT-NormIta" w:cs="MetaOT-NormIta"/>
          <w:color w:val="000000"/>
        </w:rPr>
        <w:t xml:space="preserve">Youth Justice Act 1992 </w:t>
      </w:r>
      <w:r w:rsidRPr="004B24BD">
        <w:rPr>
          <w:rFonts w:ascii="MetaOT-Norm" w:hAnsi="MetaOT-Norm" w:cs="MetaOT-Norm"/>
          <w:color w:val="000000"/>
        </w:rPr>
        <w:t>provides for the police to divert a child by way of taking no action, issuing a caution or referring the child to a restorative justice process.</w:t>
      </w:r>
    </w:p>
    <w:p w14:paraId="2FBBADFC" w14:textId="77777777" w:rsidR="004B24BD" w:rsidRPr="004B24BD" w:rsidRDefault="004B24BD" w:rsidP="004B24BD">
      <w:pPr>
        <w:pStyle w:val="ListParagraph"/>
        <w:numPr>
          <w:ilvl w:val="0"/>
          <w:numId w:val="5"/>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There were 38,338 occasions of police actions against children aged 10–16 years in 2016–17.</w:t>
      </w:r>
    </w:p>
    <w:p w14:paraId="4E0E72CA" w14:textId="77777777" w:rsidR="004B24BD" w:rsidRPr="004B24BD" w:rsidRDefault="004B24BD" w:rsidP="004B24BD">
      <w:pPr>
        <w:pStyle w:val="ListParagraph"/>
        <w:numPr>
          <w:ilvl w:val="0"/>
          <w:numId w:val="5"/>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Of these police actions, 10,840 cautions were issued and 1941 children were referred to restorative justice by police.</w:t>
      </w:r>
    </w:p>
    <w:p w14:paraId="1B568BD9" w14:textId="77777777" w:rsidR="004B24BD" w:rsidRDefault="004B24BD" w:rsidP="004B24BD">
      <w:pPr>
        <w:autoSpaceDE w:val="0"/>
        <w:autoSpaceDN w:val="0"/>
        <w:adjustRightInd w:val="0"/>
        <w:spacing w:after="0" w:line="240" w:lineRule="auto"/>
        <w:rPr>
          <w:rFonts w:ascii="MetaOT-Norm" w:hAnsi="MetaOT-Norm" w:cs="MetaOT-Norm"/>
          <w:color w:val="000000"/>
        </w:rPr>
      </w:pPr>
    </w:p>
    <w:p w14:paraId="623FBCDA" w14:textId="77777777" w:rsidR="004B24BD" w:rsidRPr="004B24BD" w:rsidRDefault="004B24BD" w:rsidP="004B24BD">
      <w:pPr>
        <w:autoSpaceDE w:val="0"/>
        <w:autoSpaceDN w:val="0"/>
        <w:adjustRightInd w:val="0"/>
        <w:spacing w:after="0" w:line="240" w:lineRule="auto"/>
        <w:rPr>
          <w:rFonts w:ascii="MetaOT-Medi" w:hAnsi="MetaOT-Medi" w:cs="MetaOT-Medi"/>
          <w:color w:val="FFFFFF"/>
          <w:sz w:val="14"/>
          <w:szCs w:val="24"/>
        </w:rPr>
      </w:pPr>
      <w:r w:rsidRPr="004B24BD">
        <w:rPr>
          <w:rFonts w:ascii="MetaOT-Light" w:hAnsi="MetaOT-Light" w:cs="MetaOT-Light"/>
          <w:color w:val="AE182E"/>
          <w:sz w:val="26"/>
          <w:szCs w:val="36"/>
        </w:rPr>
        <w:t>Solutions</w:t>
      </w:r>
      <w:r>
        <w:rPr>
          <w:rFonts w:ascii="MetaOT-Light" w:hAnsi="MetaOT-Light" w:cs="MetaOT-Light"/>
          <w:color w:val="AE182E"/>
          <w:sz w:val="26"/>
          <w:szCs w:val="36"/>
        </w:rPr>
        <w:t>:</w:t>
      </w:r>
    </w:p>
    <w:p w14:paraId="423CD9CD" w14:textId="77777777" w:rsidR="004B24BD" w:rsidRDefault="004B24BD" w:rsidP="004B24BD">
      <w:pPr>
        <w:autoSpaceDE w:val="0"/>
        <w:autoSpaceDN w:val="0"/>
        <w:adjustRightInd w:val="0"/>
        <w:spacing w:after="0" w:line="240" w:lineRule="auto"/>
        <w:rPr>
          <w:rFonts w:ascii="MetaOT-NormIta" w:hAnsi="MetaOT-NormIta" w:cs="MetaOT-NormIta"/>
          <w:color w:val="000000"/>
        </w:rPr>
      </w:pPr>
      <w:r>
        <w:rPr>
          <w:rFonts w:ascii="MetaOT-NormIta" w:hAnsi="MetaOT-NormIta" w:cs="MetaOT-NormIta"/>
          <w:color w:val="000000"/>
        </w:rPr>
        <w:t>“Where children offend or come to the attention of police, it is critical that a focus is maintained on keeping children out of court, by way of police diversions accompanied by non-court support options.”</w:t>
      </w:r>
    </w:p>
    <w:p w14:paraId="337C68D0" w14:textId="77777777" w:rsidR="004B24BD" w:rsidRDefault="004B24BD" w:rsidP="004B24BD">
      <w:pPr>
        <w:autoSpaceDE w:val="0"/>
        <w:autoSpaceDN w:val="0"/>
        <w:adjustRightInd w:val="0"/>
        <w:spacing w:after="0" w:line="240" w:lineRule="auto"/>
        <w:rPr>
          <w:rFonts w:ascii="MetaOT-NormIta" w:hAnsi="MetaOT-NormIta" w:cs="MetaOT-NormIta"/>
          <w:color w:val="000000"/>
        </w:rPr>
      </w:pPr>
    </w:p>
    <w:p w14:paraId="46CDB726" w14:textId="77777777" w:rsidR="004B24BD" w:rsidRDefault="004B24BD" w:rsidP="004B24BD">
      <w:pPr>
        <w:autoSpaceDE w:val="0"/>
        <w:autoSpaceDN w:val="0"/>
        <w:adjustRightInd w:val="0"/>
        <w:spacing w:after="0" w:line="240" w:lineRule="auto"/>
        <w:rPr>
          <w:rFonts w:ascii="MetaOT-Light" w:hAnsi="MetaOT-Light" w:cs="MetaOT-Light"/>
          <w:color w:val="FFFFFF"/>
          <w:sz w:val="48"/>
          <w:szCs w:val="48"/>
        </w:rPr>
      </w:pPr>
      <w:r>
        <w:rPr>
          <w:rFonts w:ascii="MetaOT-NormIta" w:hAnsi="MetaOT-NormIta" w:cs="MetaOT-NormIta"/>
          <w:color w:val="000000"/>
        </w:rPr>
        <w:t>“To be effective diversion processes should be supported with new approaches to information sharing, improved assessment processes and enhanced referral pathways and support services for children as well as their families and carers.”</w:t>
      </w:r>
    </w:p>
    <w:p w14:paraId="5CF80080" w14:textId="77777777" w:rsidR="004B24BD" w:rsidRPr="004B24BD" w:rsidRDefault="004B24BD" w:rsidP="004B24BD">
      <w:pPr>
        <w:autoSpaceDE w:val="0"/>
        <w:autoSpaceDN w:val="0"/>
        <w:adjustRightInd w:val="0"/>
        <w:spacing w:after="0" w:line="240" w:lineRule="auto"/>
        <w:rPr>
          <w:rFonts w:ascii="MetaOT-NormIta" w:hAnsi="MetaOT-NormIta" w:cs="MetaOT-NormIta"/>
          <w:color w:val="000000"/>
        </w:rPr>
      </w:pPr>
    </w:p>
    <w:p w14:paraId="31380438" w14:textId="77777777" w:rsidR="004B24BD" w:rsidRDefault="004B24BD" w:rsidP="004B24BD">
      <w:pPr>
        <w:autoSpaceDE w:val="0"/>
        <w:autoSpaceDN w:val="0"/>
        <w:adjustRightInd w:val="0"/>
        <w:spacing w:after="0" w:line="240" w:lineRule="auto"/>
        <w:rPr>
          <w:rFonts w:ascii="MetaOT-Light" w:hAnsi="MetaOT-Light" w:cs="MetaOT-Light"/>
          <w:color w:val="AE182E"/>
          <w:sz w:val="36"/>
          <w:szCs w:val="36"/>
        </w:rPr>
      </w:pPr>
      <w:r>
        <w:rPr>
          <w:rFonts w:ascii="MetaOT-Light" w:hAnsi="MetaOT-Light" w:cs="MetaOT-Light"/>
          <w:color w:val="AE182E"/>
          <w:sz w:val="36"/>
          <w:szCs w:val="36"/>
        </w:rPr>
        <w:t>3. Keep children out of custody</w:t>
      </w:r>
    </w:p>
    <w:p w14:paraId="4D06AA64" w14:textId="77777777" w:rsidR="004B24BD" w:rsidRDefault="004B24BD" w:rsidP="004B24BD">
      <w:pPr>
        <w:autoSpaceDE w:val="0"/>
        <w:autoSpaceDN w:val="0"/>
        <w:adjustRightInd w:val="0"/>
        <w:spacing w:after="0" w:line="240" w:lineRule="auto"/>
        <w:rPr>
          <w:rFonts w:ascii="MetaOT-Medi" w:hAnsi="MetaOT-Medi" w:cs="MetaOT-Medi"/>
          <w:color w:val="FFFFFF"/>
          <w:sz w:val="24"/>
          <w:szCs w:val="24"/>
        </w:rPr>
      </w:pPr>
      <w:r>
        <w:rPr>
          <w:rFonts w:ascii="MetaOT-Medi" w:hAnsi="MetaOT-Medi" w:cs="MetaOT-Medi"/>
          <w:color w:val="FFFFFF"/>
          <w:sz w:val="24"/>
          <w:szCs w:val="24"/>
        </w:rPr>
        <w:t>The facts:</w:t>
      </w:r>
    </w:p>
    <w:p w14:paraId="13C39433" w14:textId="77777777" w:rsidR="004B24BD" w:rsidRPr="004B24BD" w:rsidRDefault="004B24BD" w:rsidP="004B24BD">
      <w:pPr>
        <w:pStyle w:val="ListParagraph"/>
        <w:numPr>
          <w:ilvl w:val="0"/>
          <w:numId w:val="7"/>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Aboriginal and Torres Strait Islander children constituted over 69% of the children in detention — despite only representing 7.6% of Queenslanders between the ages of 10–16 years.</w:t>
      </w:r>
    </w:p>
    <w:p w14:paraId="51192226" w14:textId="77777777" w:rsidR="004B24BD" w:rsidRPr="004B24BD" w:rsidRDefault="004B24BD" w:rsidP="004B24BD">
      <w:pPr>
        <w:pStyle w:val="ListParagraph"/>
        <w:numPr>
          <w:ilvl w:val="0"/>
          <w:numId w:val="7"/>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Remand in custody rates in Queensland increased over the last four years from 2.79 per 10,000 to 3.23 per 10,000.</w:t>
      </w:r>
    </w:p>
    <w:p w14:paraId="4C3FD96E" w14:textId="77777777" w:rsidR="004B24BD" w:rsidRPr="004B24BD" w:rsidRDefault="004B24BD" w:rsidP="004B24BD">
      <w:pPr>
        <w:pStyle w:val="ListParagraph"/>
        <w:numPr>
          <w:ilvl w:val="0"/>
          <w:numId w:val="7"/>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18 days is the median number of days children spent in custody and for those serving detention orders it was 43 days.</w:t>
      </w:r>
    </w:p>
    <w:p w14:paraId="488531B1" w14:textId="77777777" w:rsidR="004B24BD" w:rsidRPr="004B24BD" w:rsidRDefault="004B24BD" w:rsidP="004B24BD">
      <w:pPr>
        <w:pStyle w:val="ListParagraph"/>
        <w:numPr>
          <w:ilvl w:val="0"/>
          <w:numId w:val="7"/>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Queensland has four supervised bail accommodation services — two in SEQ and two in NQ (Townsville).</w:t>
      </w:r>
    </w:p>
    <w:p w14:paraId="38D0403F" w14:textId="77777777" w:rsidR="004B24BD" w:rsidRPr="004B24BD" w:rsidRDefault="004B24BD" w:rsidP="004B24BD">
      <w:pPr>
        <w:pStyle w:val="ListParagraph"/>
        <w:numPr>
          <w:ilvl w:val="0"/>
          <w:numId w:val="7"/>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80% of children in detention centres in Queensland are on remand (higher than the national average of 64%).</w:t>
      </w:r>
    </w:p>
    <w:p w14:paraId="283D8EC6" w14:textId="77777777" w:rsidR="004B24BD" w:rsidRDefault="004B24BD" w:rsidP="004B24BD">
      <w:pPr>
        <w:autoSpaceDE w:val="0"/>
        <w:autoSpaceDN w:val="0"/>
        <w:adjustRightInd w:val="0"/>
        <w:spacing w:after="0" w:line="240" w:lineRule="auto"/>
        <w:rPr>
          <w:rFonts w:ascii="MetaOT-Medi" w:hAnsi="MetaOT-Medi" w:cs="MetaOT-Medi"/>
          <w:color w:val="FFFFFF"/>
          <w:sz w:val="24"/>
          <w:szCs w:val="24"/>
        </w:rPr>
      </w:pPr>
    </w:p>
    <w:p w14:paraId="5C9B0C42" w14:textId="77777777" w:rsidR="004B24BD" w:rsidRDefault="004B24BD" w:rsidP="004B24BD">
      <w:pPr>
        <w:autoSpaceDE w:val="0"/>
        <w:autoSpaceDN w:val="0"/>
        <w:adjustRightInd w:val="0"/>
        <w:spacing w:after="0" w:line="240" w:lineRule="auto"/>
        <w:rPr>
          <w:rFonts w:ascii="MetaOT-Medi" w:hAnsi="MetaOT-Medi" w:cs="MetaOT-Medi"/>
          <w:color w:val="FFFFFF"/>
          <w:sz w:val="24"/>
          <w:szCs w:val="24"/>
        </w:rPr>
      </w:pPr>
      <w:r w:rsidRPr="004B24BD">
        <w:rPr>
          <w:rFonts w:ascii="MetaOT-Light" w:hAnsi="MetaOT-Light" w:cs="MetaOT-Light"/>
          <w:color w:val="AE182E"/>
          <w:sz w:val="26"/>
          <w:szCs w:val="36"/>
        </w:rPr>
        <w:t>Solutions</w:t>
      </w:r>
      <w:r>
        <w:rPr>
          <w:rFonts w:ascii="MetaOT-Light" w:hAnsi="MetaOT-Light" w:cs="MetaOT-Light"/>
          <w:color w:val="AE182E"/>
          <w:sz w:val="26"/>
          <w:szCs w:val="36"/>
        </w:rPr>
        <w:t>:</w:t>
      </w:r>
    </w:p>
    <w:p w14:paraId="43322102" w14:textId="77777777" w:rsidR="004B24BD" w:rsidRDefault="004B24BD" w:rsidP="004B24BD">
      <w:pPr>
        <w:autoSpaceDE w:val="0"/>
        <w:autoSpaceDN w:val="0"/>
        <w:adjustRightInd w:val="0"/>
        <w:spacing w:after="0" w:line="240" w:lineRule="auto"/>
        <w:rPr>
          <w:rFonts w:ascii="MetaOT-NormIta" w:hAnsi="MetaOT-NormIta" w:cs="MetaOT-NormIta"/>
          <w:color w:val="000000"/>
        </w:rPr>
      </w:pPr>
      <w:r>
        <w:rPr>
          <w:rFonts w:ascii="MetaOT-NormIta" w:hAnsi="MetaOT-NormIta" w:cs="MetaOT-NormIta"/>
          <w:color w:val="000000"/>
        </w:rPr>
        <w:t>“If children can’t be kept out of court, all efforts should be made to keep children out of custody prior to and following an appearance in court.”</w:t>
      </w:r>
    </w:p>
    <w:p w14:paraId="75292C2E" w14:textId="77777777" w:rsidR="004B24BD" w:rsidRDefault="004B24BD" w:rsidP="004B24BD">
      <w:pPr>
        <w:autoSpaceDE w:val="0"/>
        <w:autoSpaceDN w:val="0"/>
        <w:adjustRightInd w:val="0"/>
        <w:spacing w:after="0" w:line="240" w:lineRule="auto"/>
        <w:rPr>
          <w:rFonts w:ascii="MetaOT-NormIta" w:hAnsi="MetaOT-NormIta" w:cs="MetaOT-NormIta"/>
          <w:color w:val="000000"/>
        </w:rPr>
      </w:pPr>
    </w:p>
    <w:p w14:paraId="4790D47A" w14:textId="77777777" w:rsidR="004B24BD" w:rsidRDefault="004B24BD" w:rsidP="004B24BD">
      <w:pPr>
        <w:autoSpaceDE w:val="0"/>
        <w:autoSpaceDN w:val="0"/>
        <w:adjustRightInd w:val="0"/>
        <w:spacing w:after="0" w:line="240" w:lineRule="auto"/>
        <w:rPr>
          <w:rFonts w:ascii="MetaOT-NormIta" w:hAnsi="MetaOT-NormIta" w:cs="MetaOT-NormIta"/>
          <w:color w:val="000000"/>
        </w:rPr>
      </w:pPr>
      <w:r>
        <w:rPr>
          <w:rFonts w:ascii="MetaOT-NormIta" w:hAnsi="MetaOT-NormIta" w:cs="MetaOT-NormIta"/>
          <w:color w:val="000000"/>
        </w:rPr>
        <w:t>“Bail support services serve an important function diverting children from being remanded in custody, particularly where they have a high profile and level of confidence in the courts.”</w:t>
      </w:r>
    </w:p>
    <w:p w14:paraId="1A34183A" w14:textId="77777777" w:rsidR="004B24BD" w:rsidRDefault="004B24BD" w:rsidP="004B24BD">
      <w:pPr>
        <w:autoSpaceDE w:val="0"/>
        <w:autoSpaceDN w:val="0"/>
        <w:adjustRightInd w:val="0"/>
        <w:spacing w:after="0" w:line="240" w:lineRule="auto"/>
        <w:rPr>
          <w:rFonts w:ascii="MetaOT-NormIta" w:hAnsi="MetaOT-NormIta" w:cs="MetaOT-NormIta"/>
          <w:color w:val="000000"/>
        </w:rPr>
      </w:pPr>
    </w:p>
    <w:p w14:paraId="5B921C9F" w14:textId="77777777" w:rsidR="004B24BD" w:rsidRDefault="004B24BD" w:rsidP="004B24BD">
      <w:pPr>
        <w:autoSpaceDE w:val="0"/>
        <w:autoSpaceDN w:val="0"/>
        <w:adjustRightInd w:val="0"/>
        <w:spacing w:after="0" w:line="240" w:lineRule="auto"/>
        <w:rPr>
          <w:rFonts w:ascii="MetaOT-Light" w:hAnsi="MetaOT-Light" w:cs="MetaOT-Light"/>
          <w:color w:val="AE182E"/>
          <w:sz w:val="36"/>
          <w:szCs w:val="36"/>
        </w:rPr>
      </w:pPr>
      <w:r>
        <w:rPr>
          <w:rFonts w:ascii="MetaOT-Light" w:hAnsi="MetaOT-Light" w:cs="MetaOT-Light"/>
          <w:color w:val="AE182E"/>
          <w:sz w:val="36"/>
          <w:szCs w:val="36"/>
        </w:rPr>
        <w:t>4. Reduce reoffending</w:t>
      </w:r>
    </w:p>
    <w:p w14:paraId="0F60D868" w14:textId="77777777" w:rsidR="004B24BD" w:rsidRDefault="004B24BD" w:rsidP="004B24BD">
      <w:pPr>
        <w:autoSpaceDE w:val="0"/>
        <w:autoSpaceDN w:val="0"/>
        <w:adjustRightInd w:val="0"/>
        <w:spacing w:after="0" w:line="240" w:lineRule="auto"/>
        <w:rPr>
          <w:rFonts w:ascii="MetaOT-Medi" w:hAnsi="MetaOT-Medi" w:cs="MetaOT-Medi"/>
          <w:color w:val="FFFFFF"/>
          <w:sz w:val="24"/>
          <w:szCs w:val="24"/>
        </w:rPr>
      </w:pPr>
      <w:r>
        <w:rPr>
          <w:rFonts w:ascii="MetaOT-Medi" w:hAnsi="MetaOT-Medi" w:cs="MetaOT-Medi"/>
          <w:color w:val="FFFFFF"/>
          <w:sz w:val="24"/>
          <w:szCs w:val="24"/>
        </w:rPr>
        <w:t>The facts:</w:t>
      </w:r>
    </w:p>
    <w:p w14:paraId="115ABCB1" w14:textId="77777777" w:rsidR="004B24BD" w:rsidRPr="004B24BD" w:rsidRDefault="004B24BD" w:rsidP="004B24BD">
      <w:pPr>
        <w:pStyle w:val="ListParagraph"/>
        <w:numPr>
          <w:ilvl w:val="0"/>
          <w:numId w:val="8"/>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76% of children subject to supervised orders are suffering from entrenched alcohol or drug misuse issues.</w:t>
      </w:r>
    </w:p>
    <w:p w14:paraId="61057A89" w14:textId="77777777" w:rsidR="004B24BD" w:rsidRPr="004B24BD" w:rsidRDefault="004B24BD" w:rsidP="004B24BD">
      <w:pPr>
        <w:pStyle w:val="ListParagraph"/>
        <w:numPr>
          <w:ilvl w:val="0"/>
          <w:numId w:val="8"/>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For 62% of children subject to youth justice supervised orders, substance misuse contributed to their risk of reoffending.</w:t>
      </w:r>
    </w:p>
    <w:p w14:paraId="2A3AC85E" w14:textId="77777777" w:rsidR="004B24BD" w:rsidRPr="004B24BD" w:rsidRDefault="004B24BD" w:rsidP="004B24BD">
      <w:pPr>
        <w:pStyle w:val="ListParagraph"/>
        <w:numPr>
          <w:ilvl w:val="0"/>
          <w:numId w:val="8"/>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Therapeutic programs such as skill building and counselling can achieve 10–15% reductions in reoffending.</w:t>
      </w:r>
    </w:p>
    <w:p w14:paraId="2C257586" w14:textId="77777777" w:rsidR="004B24BD" w:rsidRPr="004B24BD" w:rsidRDefault="004B24BD" w:rsidP="004B24BD">
      <w:pPr>
        <w:pStyle w:val="ListParagraph"/>
        <w:numPr>
          <w:ilvl w:val="0"/>
          <w:numId w:val="8"/>
        </w:numPr>
        <w:autoSpaceDE w:val="0"/>
        <w:autoSpaceDN w:val="0"/>
        <w:adjustRightInd w:val="0"/>
        <w:spacing w:after="0" w:line="240" w:lineRule="auto"/>
        <w:rPr>
          <w:rFonts w:ascii="MetaOT-Norm" w:hAnsi="MetaOT-Norm" w:cs="MetaOT-Norm"/>
          <w:color w:val="000000"/>
        </w:rPr>
      </w:pPr>
      <w:r w:rsidRPr="004B24BD">
        <w:rPr>
          <w:rFonts w:ascii="MetaOT-Norm" w:hAnsi="MetaOT-Norm" w:cs="MetaOT-Norm"/>
          <w:color w:val="000000"/>
        </w:rPr>
        <w:t>It costs $1500 a day to hold a child in detention.</w:t>
      </w:r>
    </w:p>
    <w:p w14:paraId="341A5213" w14:textId="77777777" w:rsidR="004B24BD" w:rsidRDefault="004B24BD" w:rsidP="004B24BD">
      <w:pPr>
        <w:autoSpaceDE w:val="0"/>
        <w:autoSpaceDN w:val="0"/>
        <w:adjustRightInd w:val="0"/>
        <w:spacing w:after="0" w:line="240" w:lineRule="auto"/>
        <w:rPr>
          <w:rFonts w:ascii="MetaOT-Medi" w:hAnsi="MetaOT-Medi" w:cs="MetaOT-Medi"/>
          <w:color w:val="FFFFFF"/>
          <w:sz w:val="24"/>
          <w:szCs w:val="24"/>
        </w:rPr>
      </w:pPr>
      <w:r>
        <w:rPr>
          <w:rFonts w:ascii="MetaOT-Medi" w:hAnsi="MetaOT-Medi" w:cs="MetaOT-Medi"/>
          <w:color w:val="FFFFFF"/>
          <w:sz w:val="24"/>
          <w:szCs w:val="24"/>
        </w:rPr>
        <w:t>Solutions:</w:t>
      </w:r>
    </w:p>
    <w:p w14:paraId="70CB65D0" w14:textId="77777777" w:rsidR="004B24BD" w:rsidRDefault="004B24BD" w:rsidP="004B24BD">
      <w:pPr>
        <w:autoSpaceDE w:val="0"/>
        <w:autoSpaceDN w:val="0"/>
        <w:adjustRightInd w:val="0"/>
        <w:spacing w:after="0" w:line="240" w:lineRule="auto"/>
        <w:rPr>
          <w:rFonts w:ascii="MetaOT-NormIta" w:hAnsi="MetaOT-NormIta" w:cs="MetaOT-NormIta"/>
          <w:color w:val="000000"/>
        </w:rPr>
      </w:pPr>
      <w:r>
        <w:rPr>
          <w:rFonts w:ascii="MetaOT-NormIta" w:hAnsi="MetaOT-NormIta" w:cs="MetaOT-NormIta"/>
          <w:color w:val="000000"/>
        </w:rPr>
        <w:lastRenderedPageBreak/>
        <w:t>“The best chance of reducing reoffending behaviour among children is delivering evidence-based interventions that address their individual risks and needs determined by assessment, and that are delivered with the right intensity and frequency.”</w:t>
      </w:r>
    </w:p>
    <w:p w14:paraId="460DBE45" w14:textId="77777777" w:rsidR="004B24BD" w:rsidRDefault="004B24BD" w:rsidP="004B24BD">
      <w:pPr>
        <w:autoSpaceDE w:val="0"/>
        <w:autoSpaceDN w:val="0"/>
        <w:adjustRightInd w:val="0"/>
        <w:spacing w:after="0" w:line="240" w:lineRule="auto"/>
        <w:rPr>
          <w:rFonts w:ascii="MetaOT-NormIta" w:hAnsi="MetaOT-NormIta" w:cs="MetaOT-NormIta"/>
          <w:color w:val="000000"/>
        </w:rPr>
      </w:pPr>
    </w:p>
    <w:p w14:paraId="18493183" w14:textId="77777777" w:rsidR="004B24BD" w:rsidRPr="004B24BD" w:rsidRDefault="004B24BD" w:rsidP="004B24BD">
      <w:pPr>
        <w:autoSpaceDE w:val="0"/>
        <w:autoSpaceDN w:val="0"/>
        <w:adjustRightInd w:val="0"/>
        <w:spacing w:after="0" w:line="240" w:lineRule="auto"/>
        <w:rPr>
          <w:rFonts w:ascii="MetaOT-NormIta" w:hAnsi="MetaOT-NormIta" w:cs="MetaOT-NormIta"/>
          <w:color w:val="000000"/>
        </w:rPr>
      </w:pPr>
      <w:r>
        <w:rPr>
          <w:rFonts w:ascii="MetaOT-NormIta" w:hAnsi="MetaOT-NormIta" w:cs="MetaOT-NormIta"/>
          <w:color w:val="000000"/>
        </w:rPr>
        <w:t>“All children in detention should from first arrival, engage in programs that address their offending and personal circumstances, with such programs continuing into and after their transition back into the community.”</w:t>
      </w:r>
    </w:p>
    <w:p w14:paraId="4AFD3D44" w14:textId="77777777" w:rsidR="004B24BD" w:rsidRDefault="004B24BD" w:rsidP="004B24BD">
      <w:pPr>
        <w:pBdr>
          <w:bottom w:val="single" w:sz="4" w:space="1" w:color="auto"/>
        </w:pBdr>
        <w:rPr>
          <w:rFonts w:ascii="MetaOT-Norm" w:hAnsi="MetaOT-Norm" w:cs="MetaOT-Norm"/>
          <w:color w:val="000000"/>
        </w:rPr>
      </w:pPr>
    </w:p>
    <w:p w14:paraId="702428E6" w14:textId="77777777" w:rsidR="004B24BD" w:rsidRPr="004B24BD" w:rsidRDefault="004B24BD" w:rsidP="004B24BD">
      <w:pPr>
        <w:autoSpaceDE w:val="0"/>
        <w:autoSpaceDN w:val="0"/>
        <w:adjustRightInd w:val="0"/>
        <w:spacing w:after="0" w:line="240" w:lineRule="auto"/>
        <w:rPr>
          <w:rFonts w:ascii="MetaOT-NormIta" w:hAnsi="MetaOT-NormIta" w:cs="MetaOT-NormIta"/>
          <w:color w:val="000000"/>
          <w:sz w:val="45"/>
          <w:szCs w:val="45"/>
        </w:rPr>
      </w:pPr>
      <w:r w:rsidRPr="004B24BD">
        <w:rPr>
          <w:rFonts w:ascii="MetaOT-NormIta" w:hAnsi="MetaOT-NormIta" w:cs="MetaOT-NormIta"/>
          <w:color w:val="000000"/>
          <w:sz w:val="45"/>
          <w:szCs w:val="45"/>
        </w:rPr>
        <w:t>Case Study</w:t>
      </w:r>
      <w:r>
        <w:rPr>
          <w:rFonts w:ascii="MetaOT-NormIta" w:hAnsi="MetaOT-NormIta" w:cs="MetaOT-NormIta"/>
          <w:color w:val="000000"/>
          <w:sz w:val="45"/>
          <w:szCs w:val="45"/>
        </w:rPr>
        <w:t xml:space="preserve">: </w:t>
      </w:r>
      <w:r>
        <w:rPr>
          <w:rFonts w:ascii="MetaOT-Light" w:hAnsi="MetaOT-Light" w:cs="MetaOT-Light"/>
          <w:color w:val="000000"/>
          <w:sz w:val="36"/>
          <w:szCs w:val="36"/>
        </w:rPr>
        <w:t>‘The Lighthouse’</w:t>
      </w:r>
    </w:p>
    <w:p w14:paraId="3641FF88" w14:textId="77777777" w:rsidR="004B24BD" w:rsidRDefault="004B24BD" w:rsidP="004B24BD">
      <w:pPr>
        <w:autoSpaceDE w:val="0"/>
        <w:autoSpaceDN w:val="0"/>
        <w:adjustRightInd w:val="0"/>
        <w:spacing w:after="0" w:line="240" w:lineRule="auto"/>
        <w:rPr>
          <w:rFonts w:ascii="MetaOT-Norm" w:hAnsi="MetaOT-Norm" w:cs="MetaOT-Norm"/>
          <w:color w:val="000000"/>
        </w:rPr>
      </w:pPr>
      <w:r>
        <w:rPr>
          <w:rFonts w:ascii="MetaOT-Norm" w:hAnsi="MetaOT-Norm" w:cs="MetaOT-Norm"/>
          <w:color w:val="000000"/>
        </w:rPr>
        <w:t>‘The Lighthouse’ in Townsville is an after-hours diversion service funded by the Department of Child Safety, Youth and Women and operated by Townsville Aboriginal and Torres Strait Islander Health Services. It is staffed by trained youth workers who provide an after-hours diversion service for children aged 10–17 years who are at risk of offending.</w:t>
      </w:r>
    </w:p>
    <w:p w14:paraId="1CF4E78A" w14:textId="77777777" w:rsidR="004B24BD" w:rsidRDefault="004B24BD" w:rsidP="004B24BD">
      <w:pPr>
        <w:autoSpaceDE w:val="0"/>
        <w:autoSpaceDN w:val="0"/>
        <w:adjustRightInd w:val="0"/>
        <w:spacing w:after="0" w:line="240" w:lineRule="auto"/>
        <w:rPr>
          <w:rFonts w:ascii="MetaOT-Norm" w:hAnsi="MetaOT-Norm" w:cs="MetaOT-Norm"/>
          <w:color w:val="000000"/>
        </w:rPr>
      </w:pPr>
    </w:p>
    <w:p w14:paraId="7A635885" w14:textId="77777777" w:rsidR="004B24BD" w:rsidRDefault="004B24BD" w:rsidP="004B24BD">
      <w:pPr>
        <w:rPr>
          <w:rFonts w:ascii="MetaOT-Norm" w:hAnsi="MetaOT-Norm" w:cs="MetaOT-Norm"/>
          <w:color w:val="000000"/>
        </w:rPr>
      </w:pPr>
      <w:r>
        <w:rPr>
          <w:rFonts w:ascii="MetaOT-Norm" w:hAnsi="MetaOT-Norm" w:cs="MetaOT-Norm"/>
          <w:color w:val="000000"/>
        </w:rPr>
        <w:t>The children who use the service are often experiencing complex issues within their family including domestic and family violence, drug and alcohol abuse and mental health issues so it provides a safe place they can go to at night.</w:t>
      </w:r>
    </w:p>
    <w:p w14:paraId="5047D9C8" w14:textId="77777777" w:rsidR="004B24BD" w:rsidRDefault="004B24BD" w:rsidP="004B24BD">
      <w:pPr>
        <w:autoSpaceDE w:val="0"/>
        <w:autoSpaceDN w:val="0"/>
        <w:adjustRightInd w:val="0"/>
        <w:spacing w:after="0" w:line="240" w:lineRule="auto"/>
        <w:rPr>
          <w:rFonts w:ascii="MetaOT-Norm" w:hAnsi="MetaOT-Norm" w:cs="MetaOT-Norm"/>
          <w:color w:val="000000"/>
        </w:rPr>
      </w:pPr>
      <w:r>
        <w:rPr>
          <w:rFonts w:ascii="MetaOT-Norm" w:hAnsi="MetaOT-Norm" w:cs="MetaOT-Norm"/>
          <w:color w:val="000000"/>
        </w:rPr>
        <w:t>‘The Lighthouse’ offers a place where young people can be safe and engage in pro-social activities, including table tennis, sport, computer games, weights, television, gardening, trivia, men’s and women’s groups as well as supervised excursions, for example, to night markets, fishing and strand walks. These programs are facilitated from 4pm and overnight to 10am on weekdays and 6pm and overnight to 10am on weekends. The provider also offers outreach, crisis care and case management assistance.</w:t>
      </w:r>
    </w:p>
    <w:p w14:paraId="6F7AA40C" w14:textId="77777777" w:rsidR="004B24BD" w:rsidRDefault="004B24BD" w:rsidP="004B24BD">
      <w:pPr>
        <w:autoSpaceDE w:val="0"/>
        <w:autoSpaceDN w:val="0"/>
        <w:adjustRightInd w:val="0"/>
        <w:spacing w:after="0" w:line="240" w:lineRule="auto"/>
        <w:rPr>
          <w:rFonts w:ascii="MetaOT-Norm" w:hAnsi="MetaOT-Norm" w:cs="MetaOT-Norm"/>
          <w:color w:val="000000"/>
        </w:rPr>
      </w:pPr>
    </w:p>
    <w:p w14:paraId="4EF44AC2" w14:textId="77777777" w:rsidR="004B24BD" w:rsidRDefault="004B24BD" w:rsidP="004B24BD">
      <w:pPr>
        <w:autoSpaceDE w:val="0"/>
        <w:autoSpaceDN w:val="0"/>
        <w:adjustRightInd w:val="0"/>
        <w:spacing w:after="0" w:line="240" w:lineRule="auto"/>
        <w:rPr>
          <w:rFonts w:ascii="MetaOT-Norm" w:hAnsi="MetaOT-Norm" w:cs="MetaOT-Norm"/>
          <w:color w:val="000000"/>
        </w:rPr>
      </w:pPr>
      <w:r>
        <w:rPr>
          <w:rFonts w:ascii="MetaOT-Norm" w:hAnsi="MetaOT-Norm" w:cs="MetaOT-Norm"/>
          <w:color w:val="000000"/>
        </w:rPr>
        <w:t>Between February 2017 and January 2018 ‘The Lighthouse’ provided a service to 190 young people, who have utilised the service on over 2000 occasions.</w:t>
      </w:r>
    </w:p>
    <w:p w14:paraId="0CE4CB9F" w14:textId="77777777" w:rsidR="00000000" w:rsidRDefault="00000000" w:rsidP="004B24BD"/>
    <w:sectPr w:rsidR="00B049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6B20" w14:textId="77777777" w:rsidR="00CF1C5E" w:rsidRDefault="00CF1C5E" w:rsidP="004B24BD">
      <w:pPr>
        <w:spacing w:after="0" w:line="240" w:lineRule="auto"/>
      </w:pPr>
      <w:r>
        <w:separator/>
      </w:r>
    </w:p>
  </w:endnote>
  <w:endnote w:type="continuationSeparator" w:id="0">
    <w:p w14:paraId="59A946D1" w14:textId="77777777" w:rsidR="00CF1C5E" w:rsidRDefault="00CF1C5E" w:rsidP="004B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taOT-Nor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altName w:val="Calibri"/>
    <w:panose1 w:val="00000000000000000000"/>
    <w:charset w:val="00"/>
    <w:family w:val="swiss"/>
    <w:notTrueType/>
    <w:pitch w:val="default"/>
    <w:sig w:usb0="00000003" w:usb1="00000000" w:usb2="00000000" w:usb3="00000000" w:csb0="00000001" w:csb1="00000000"/>
  </w:font>
  <w:font w:name="MetaOT-Light">
    <w:altName w:val="Calibri"/>
    <w:panose1 w:val="00000000000000000000"/>
    <w:charset w:val="00"/>
    <w:family w:val="swiss"/>
    <w:notTrueType/>
    <w:pitch w:val="default"/>
    <w:sig w:usb0="00000003" w:usb1="00000000" w:usb2="00000000" w:usb3="00000000" w:csb0="00000001" w:csb1="00000000"/>
  </w:font>
  <w:font w:name="MetaOT-Medi">
    <w:altName w:val="Calibri"/>
    <w:panose1 w:val="00000000000000000000"/>
    <w:charset w:val="00"/>
    <w:family w:val="swiss"/>
    <w:notTrueType/>
    <w:pitch w:val="default"/>
    <w:sig w:usb0="00000003" w:usb1="00000000" w:usb2="00000000" w:usb3="00000000" w:csb0="00000001" w:csb1="00000000"/>
  </w:font>
  <w:font w:name="MetaOT-NormIt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0001" w14:textId="77777777" w:rsidR="00BC2A8A" w:rsidRDefault="00BC2A8A" w:rsidP="00BC2A8A">
    <w:pPr>
      <w:pStyle w:val="Footer"/>
      <w:jc w:val="right"/>
    </w:pPr>
    <w:r>
      <w:rPr>
        <w:noProof/>
        <w:lang w:eastAsia="en-AU"/>
      </w:rPr>
      <w:drawing>
        <wp:inline distT="0" distB="0" distL="0" distR="0" wp14:anchorId="45C1BB7C" wp14:editId="34426AB3">
          <wp:extent cx="573024" cy="7193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ld-CoA-Stylised-2LS-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024" cy="7193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713F" w14:textId="77777777" w:rsidR="00CF1C5E" w:rsidRDefault="00CF1C5E" w:rsidP="004B24BD">
      <w:pPr>
        <w:spacing w:after="0" w:line="240" w:lineRule="auto"/>
      </w:pPr>
      <w:r>
        <w:separator/>
      </w:r>
    </w:p>
  </w:footnote>
  <w:footnote w:type="continuationSeparator" w:id="0">
    <w:p w14:paraId="0A8854BB" w14:textId="77777777" w:rsidR="00CF1C5E" w:rsidRDefault="00CF1C5E" w:rsidP="004B2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D300" w14:textId="77777777" w:rsidR="004B24BD" w:rsidRPr="004B24BD" w:rsidRDefault="004B24BD" w:rsidP="004B24BD">
    <w:pPr>
      <w:tabs>
        <w:tab w:val="left" w:pos="4733"/>
      </w:tabs>
      <w:autoSpaceDE w:val="0"/>
      <w:autoSpaceDN w:val="0"/>
      <w:adjustRightInd w:val="0"/>
      <w:spacing w:after="0" w:line="240" w:lineRule="auto"/>
      <w:jc w:val="right"/>
      <w:rPr>
        <w:rFonts w:ascii="MetaNormalLF-Roman" w:hAnsi="MetaNormalLF-Roman" w:cs="MetaNormalLF-Roman"/>
        <w:color w:val="000000"/>
        <w:sz w:val="20"/>
        <w:szCs w:val="20"/>
      </w:rPr>
    </w:pPr>
    <w:r>
      <w:rPr>
        <w:rFonts w:ascii="MetaNormalLF-Roman" w:hAnsi="MetaNormalLF-Roman" w:cs="MetaNormalLF-Roman"/>
        <w:color w:val="000000"/>
        <w:sz w:val="20"/>
        <w:szCs w:val="20"/>
      </w:rPr>
      <w:t>Department of Child Safety, Youth and Women</w:t>
    </w:r>
    <w:r>
      <w:rPr>
        <w:rFonts w:ascii="MetaNormalLF-Roman" w:hAnsi="MetaNormalLF-Roman" w:cs="MetaNormalLF-Roman"/>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95A"/>
    <w:multiLevelType w:val="hybridMultilevel"/>
    <w:tmpl w:val="902673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25127420">
      <w:start w:val="4"/>
      <w:numFmt w:val="bullet"/>
      <w:lvlText w:val="•"/>
      <w:lvlJc w:val="left"/>
      <w:pPr>
        <w:ind w:left="1800" w:hanging="360"/>
      </w:pPr>
      <w:rPr>
        <w:rFonts w:ascii="MetaOT-Norm" w:eastAsiaTheme="minorHAnsi" w:hAnsi="MetaOT-Norm" w:cs="MetaOT-Norm"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2524CC"/>
    <w:multiLevelType w:val="hybridMultilevel"/>
    <w:tmpl w:val="978EC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82534E"/>
    <w:multiLevelType w:val="hybridMultilevel"/>
    <w:tmpl w:val="1C902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004779"/>
    <w:multiLevelType w:val="hybridMultilevel"/>
    <w:tmpl w:val="79E82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2353BB"/>
    <w:multiLevelType w:val="hybridMultilevel"/>
    <w:tmpl w:val="FE98D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6172B7"/>
    <w:multiLevelType w:val="hybridMultilevel"/>
    <w:tmpl w:val="8B940DB8"/>
    <w:lvl w:ilvl="0" w:tplc="FDFC4D00">
      <w:start w:val="4"/>
      <w:numFmt w:val="bullet"/>
      <w:lvlText w:val="•"/>
      <w:lvlJc w:val="left"/>
      <w:pPr>
        <w:ind w:left="720" w:hanging="360"/>
      </w:pPr>
      <w:rPr>
        <w:rFonts w:ascii="MetaOT-Norm" w:eastAsiaTheme="minorHAnsi" w:hAnsi="MetaOT-Norm" w:cs="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DE6F51"/>
    <w:multiLevelType w:val="hybridMultilevel"/>
    <w:tmpl w:val="6D221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BA09AC"/>
    <w:multiLevelType w:val="hybridMultilevel"/>
    <w:tmpl w:val="EE643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53B24A1"/>
    <w:multiLevelType w:val="hybridMultilevel"/>
    <w:tmpl w:val="A1ACCC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16888836">
    <w:abstractNumId w:val="3"/>
  </w:num>
  <w:num w:numId="2" w16cid:durableId="921989586">
    <w:abstractNumId w:val="8"/>
  </w:num>
  <w:num w:numId="3" w16cid:durableId="652636644">
    <w:abstractNumId w:val="0"/>
  </w:num>
  <w:num w:numId="4" w16cid:durableId="1426072405">
    <w:abstractNumId w:val="4"/>
  </w:num>
  <w:num w:numId="5" w16cid:durableId="255290367">
    <w:abstractNumId w:val="7"/>
  </w:num>
  <w:num w:numId="6" w16cid:durableId="1454405292">
    <w:abstractNumId w:val="6"/>
  </w:num>
  <w:num w:numId="7" w16cid:durableId="723337620">
    <w:abstractNumId w:val="1"/>
  </w:num>
  <w:num w:numId="8" w16cid:durableId="1519545496">
    <w:abstractNumId w:val="2"/>
  </w:num>
  <w:num w:numId="9" w16cid:durableId="472917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BD"/>
    <w:rsid w:val="00323DEE"/>
    <w:rsid w:val="0041570B"/>
    <w:rsid w:val="004B24BD"/>
    <w:rsid w:val="009847CC"/>
    <w:rsid w:val="009964A5"/>
    <w:rsid w:val="00B01DCE"/>
    <w:rsid w:val="00BC2A8A"/>
    <w:rsid w:val="00CF1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69669"/>
  <w15:chartTrackingRefBased/>
  <w15:docId w15:val="{1B99E428-4945-4415-93CD-09841B4C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4BD"/>
  </w:style>
  <w:style w:type="paragraph" w:styleId="Footer">
    <w:name w:val="footer"/>
    <w:basedOn w:val="Normal"/>
    <w:link w:val="FooterChar"/>
    <w:uiPriority w:val="99"/>
    <w:unhideWhenUsed/>
    <w:rsid w:val="004B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4BD"/>
  </w:style>
  <w:style w:type="paragraph" w:styleId="ListParagraph">
    <w:name w:val="List Paragraph"/>
    <w:basedOn w:val="Normal"/>
    <w:uiPriority w:val="34"/>
    <w:qFormat/>
    <w:rsid w:val="004B2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NER3HZ3QZUNC-1385979215-289902</_dlc_DocId>
    <_dlc_DocIdUrl xmlns="dbefc7fa-1a1d-4432-8b48-0661d01a2bf9">
      <Url>https://dsitiaqld.sharepoint.com/sites/DESBT/engagement/customer-experience/digital-delivery/_layouts/15/DocIdRedir.aspx?ID=NER3HZ3QZUNC-1385979215-289902</Url>
      <Description>NER3HZ3QZUNC-1385979215-289902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82774-6084-4BC6-8C26-693A4400D343}">
  <ds:schemaRefs>
    <ds:schemaRef ds:uri="http://schemas.microsoft.com/sharepoint/events"/>
  </ds:schemaRefs>
</ds:datastoreItem>
</file>

<file path=customXml/itemProps2.xml><?xml version="1.0" encoding="utf-8"?>
<ds:datastoreItem xmlns:ds="http://schemas.openxmlformats.org/officeDocument/2006/customXml" ds:itemID="{930D6302-85DD-43FD-B7DF-1E20CE06A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0A13E-2FD4-4FF9-9989-2459688F5071}">
  <ds:schemaRefs>
    <ds:schemaRef ds:uri="http://schemas.microsoft.com/office/2006/metadata/properties"/>
    <ds:schemaRef ds:uri="http://schemas.microsoft.com/office/infopath/2007/PartnerControls"/>
    <ds:schemaRef ds:uri="dbefc7fa-1a1d-4432-8b48-0661d01a2bf9"/>
    <ds:schemaRef ds:uri="http://schemas.microsoft.com/sharepoint/v3"/>
    <ds:schemaRef ds:uri="0b8dffbd-6425-4760-9d3e-66ce409199d4"/>
  </ds:schemaRefs>
</ds:datastoreItem>
</file>

<file path=customXml/itemProps4.xml><?xml version="1.0" encoding="utf-8"?>
<ds:datastoreItem xmlns:ds="http://schemas.openxmlformats.org/officeDocument/2006/customXml" ds:itemID="{103DB04E-4AFF-40B2-9B32-D5E60075E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Four Pillars - A snapshot</vt:lpstr>
    </vt:vector>
  </TitlesOfParts>
  <Company>Queensland Government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Pillars: A Snapshot fact sheet</dc:title>
  <dc:subject>The Four Pillars</dc:subject>
  <dc:creator>Queensland Government</dc:creator>
  <cp:keywords>four pillars,youth justice strategy,yj,report,bob atkinson,yj future</cp:keywords>
  <dc:description/>
  <cp:lastModifiedBy>Kat Michels</cp:lastModifiedBy>
  <cp:revision>4</cp:revision>
  <dcterms:created xsi:type="dcterms:W3CDTF">2018-08-15T23:22:00Z</dcterms:created>
  <dcterms:modified xsi:type="dcterms:W3CDTF">2023-08-29T03:04:00Z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c474d835-7837-41ff-b74b-9b4be5266662</vt:lpwstr>
  </property>
</Properties>
</file>