
<file path=[Content_Types].xml><?xml version="1.0" encoding="utf-8"?>
<Types xmlns="http://schemas.openxmlformats.org/package/2006/content-types">
  <Default Extension="png" ContentType="image/png"/>
  <Default Extension="json" ContentType="application/vnd.baytech.electronic-signing-metadata+js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baytech.com.au/ooxml/rels/electronic-signing-metadata" Target="baytech/electronic-signing-metadata.json"/></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1" w:rightFromText="181" w:vertAnchor="page" w:horzAnchor="margin" w:tblpY="1038"/>
        <w:tblOverlap w:val="never"/>
        <w:tblW w:w="10294" w:type="dxa"/>
        <w:tblLayout w:type="fixed"/>
        <w:tblLook w:val="01E0" w:firstRow="1" w:lastRow="1" w:firstColumn="1" w:lastColumn="1" w:noHBand="0" w:noVBand="0"/>
      </w:tblPr>
      <w:tblGrid>
        <w:gridCol w:w="7230"/>
        <w:gridCol w:w="3064"/>
      </w:tblGrid>
      <w:tr w:rsidR="00785561" w14:paraId="3A5E8C31" w14:textId="77777777" w:rsidTr="007C5544">
        <w:trPr>
          <w:trHeight w:val="1891"/>
        </w:trPr>
        <w:tc>
          <w:tcPr>
            <w:tcW w:w="7230" w:type="dxa"/>
            <w:vAlign w:val="bottom"/>
          </w:tcPr>
          <w:p w14:paraId="49B4D814" w14:textId="77777777" w:rsidR="00E805D6" w:rsidRDefault="00E805D6" w:rsidP="00E805D6">
            <w:pPr>
              <w:pStyle w:val="Title"/>
              <w:rPr>
                <w:rStyle w:val="DocTitle"/>
                <w:color w:val="FFFFFF" w:themeColor="background1"/>
                <w:sz w:val="32"/>
              </w:rPr>
            </w:pPr>
            <w:bookmarkStart w:id="0" w:name="_Toc270846599"/>
            <w:bookmarkStart w:id="1" w:name="_Toc275283084"/>
          </w:p>
          <w:p w14:paraId="0BC3419D" w14:textId="2D487F68" w:rsidR="00165F81" w:rsidRPr="00E805D6" w:rsidRDefault="00344D9A" w:rsidP="00784BEE">
            <w:pPr>
              <w:pStyle w:val="Title"/>
              <w:ind w:left="-105"/>
              <w:rPr>
                <w:color w:val="FFFFFF" w:themeColor="background1"/>
                <w:sz w:val="44"/>
              </w:rPr>
            </w:pPr>
            <w:r>
              <w:rPr>
                <w:noProof/>
                <w:lang w:eastAsia="zh-TW"/>
              </w:rPr>
              <mc:AlternateContent>
                <mc:Choice Requires="wps">
                  <w:drawing>
                    <wp:anchor distT="0" distB="0" distL="114300" distR="114300" simplePos="0" relativeHeight="251660288" behindDoc="1" locked="0" layoutInCell="1" allowOverlap="1" wp14:anchorId="449F74D3" wp14:editId="3451A6C2">
                      <wp:simplePos x="0" y="0"/>
                      <wp:positionH relativeFrom="column">
                        <wp:posOffset>-201930</wp:posOffset>
                      </wp:positionH>
                      <wp:positionV relativeFrom="paragraph">
                        <wp:posOffset>125730</wp:posOffset>
                      </wp:positionV>
                      <wp:extent cx="3522980" cy="971550"/>
                      <wp:effectExtent l="0" t="0" r="20320" b="19050"/>
                      <wp:wrapNone/>
                      <wp:docPr id="11" name="Rectangle 11"/>
                      <wp:cNvGraphicFramePr/>
                      <a:graphic xmlns:a="http://schemas.openxmlformats.org/drawingml/2006/main">
                        <a:graphicData uri="http://schemas.microsoft.com/office/word/2010/wordprocessingShape">
                          <wps:wsp>
                            <wps:cNvSpPr/>
                            <wps:spPr>
                              <a:xfrm>
                                <a:off x="0" y="0"/>
                                <a:ext cx="3522980" cy="9715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6F48BAA1" id="Rectangle 11" o:spid="_x0000_s1026" style="position:absolute;margin-left:-15.9pt;margin-top:9.9pt;width:277.4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" fillcolor="black [3200]" strokecolor="black [1600]" strokeweight="1pt"/>
                  </w:pict>
                </mc:Fallback>
              </mc:AlternateContent>
            </w:r>
            <w:r w:rsidR="00AA7419">
              <w:rPr>
                <w:color w:val="FFFFFF" w:themeColor="background1"/>
                <w:sz w:val="38"/>
              </w:rPr>
              <w:t>Pre-qualified Supplier Policy 2019–20 for Queensland VET Investment Programs</w:t>
            </w:r>
          </w:p>
        </w:tc>
        <w:tc>
          <w:tcPr>
            <w:tcW w:w="3064" w:type="dxa"/>
            <w:tcMar>
              <w:right w:w="0" w:type="dxa"/>
            </w:tcMar>
            <w:vAlign w:val="bottom"/>
          </w:tcPr>
          <w:p w14:paraId="5CB8D8B5" w14:textId="77777777" w:rsidR="00165F81" w:rsidRPr="008A446F" w:rsidRDefault="00165F81" w:rsidP="00165F81">
            <w:pPr>
              <w:pStyle w:val="Subtitle"/>
              <w:jc w:val="right"/>
              <w:rPr>
                <w:color w:val="343333"/>
                <w:highlight w:val="magenta"/>
              </w:rPr>
            </w:pPr>
          </w:p>
        </w:tc>
      </w:tr>
    </w:tbl>
    <w:p w14:paraId="583517FB" w14:textId="77777777" w:rsidR="00E70F12" w:rsidRDefault="00F96898" w:rsidP="00E70F12">
      <w:pPr>
        <w:rPr>
          <w:highlight w:val="magenta"/>
        </w:rPr>
      </w:pPr>
      <w:r>
        <w:rPr>
          <w:noProof/>
          <w:lang w:eastAsia="zh-TW"/>
        </w:rPr>
        <mc:AlternateContent>
          <mc:Choice Requires="wps">
            <w:drawing>
              <wp:anchor distT="0" distB="0" distL="114300" distR="114300" simplePos="0" relativeHeight="251658240" behindDoc="1" locked="0" layoutInCell="1" allowOverlap="1" wp14:anchorId="3B772DBA" wp14:editId="66221CD3">
                <wp:simplePos x="0" y="0"/>
                <wp:positionH relativeFrom="page">
                  <wp:align>left</wp:align>
                </wp:positionH>
                <wp:positionV relativeFrom="paragraph">
                  <wp:posOffset>-66674</wp:posOffset>
                </wp:positionV>
                <wp:extent cx="5200650" cy="7810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00650" cy="78105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7" o:spid="_x0000_s1026" style="width:409.5pt;height:61.5pt;margin-top:-5.25pt;margin-left:0;mso-height-percent:0;mso-height-relative:margin;mso-position-horizontal:left;mso-position-horizontal-relative:page;mso-width-percent:0;mso-width-relative:margin;mso-wrap-distance-bottom:0;mso-wrap-distance-left:9pt;mso-wrap-distance-right:9pt;mso-wrap-distance-top:0;mso-wrap-style:square;position:absolute;visibility:visible;v-text-anchor:middle;z-index:-251657216" fillcolor="black" strokecolor="black" strokeweight="1pt"/>
            </w:pict>
          </mc:Fallback>
        </mc:AlternateContent>
      </w:r>
    </w:p>
    <w:bookmarkEnd w:id="0"/>
    <w:bookmarkEnd w:id="1"/>
    <w:p w14:paraId="07E5CC68" w14:textId="77777777" w:rsidR="00B26ED0" w:rsidRPr="00B26ED0" w:rsidRDefault="00B26ED0" w:rsidP="0087307F">
      <w:pPr>
        <w:pStyle w:val="BodyText"/>
        <w:rPr>
          <w:rFonts w:eastAsia="Calibri"/>
          <w:sz w:val="4"/>
        </w:rPr>
      </w:pP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7200"/>
      </w:tblGrid>
      <w:tr w:rsidR="00506092" w:rsidRPr="00213067" w14:paraId="0D399673" w14:textId="77777777" w:rsidTr="00213067">
        <w:tc>
          <w:tcPr>
            <w:tcW w:w="937" w:type="pct"/>
            <w:shd w:val="clear" w:color="auto" w:fill="auto"/>
          </w:tcPr>
          <w:p w14:paraId="3CC5851E" w14:textId="77777777" w:rsidR="00506092" w:rsidRPr="00213067" w:rsidRDefault="00506092" w:rsidP="00213067">
            <w:pPr>
              <w:tabs>
                <w:tab w:val="right" w:pos="1769"/>
              </w:tabs>
              <w:autoSpaceDE w:val="0"/>
              <w:autoSpaceDN w:val="0"/>
              <w:adjustRightInd w:val="0"/>
              <w:rPr>
                <w:rFonts w:cs="Arial"/>
                <w:sz w:val="20"/>
                <w:szCs w:val="20"/>
              </w:rPr>
            </w:pPr>
            <w:r w:rsidRPr="00213067">
              <w:rPr>
                <w:rFonts w:cs="Arial"/>
                <w:sz w:val="20"/>
                <w:szCs w:val="20"/>
              </w:rPr>
              <w:t>Policy owner:</w:t>
            </w:r>
            <w:r w:rsidRPr="00213067">
              <w:rPr>
                <w:rFonts w:cs="Arial"/>
                <w:sz w:val="20"/>
                <w:szCs w:val="20"/>
              </w:rPr>
              <w:tab/>
            </w:r>
          </w:p>
        </w:tc>
        <w:tc>
          <w:tcPr>
            <w:tcW w:w="4063" w:type="pct"/>
            <w:shd w:val="clear" w:color="auto" w:fill="auto"/>
          </w:tcPr>
          <w:p w14:paraId="0090AC37" w14:textId="77777777" w:rsidR="00506092" w:rsidRPr="00213067" w:rsidRDefault="00506092" w:rsidP="00213067">
            <w:pPr>
              <w:tabs>
                <w:tab w:val="left" w:pos="567"/>
                <w:tab w:val="left" w:pos="1134"/>
                <w:tab w:val="left" w:pos="1701"/>
              </w:tabs>
              <w:jc w:val="both"/>
              <w:rPr>
                <w:rFonts w:cs="Arial"/>
                <w:bCs/>
                <w:sz w:val="20"/>
                <w:szCs w:val="20"/>
              </w:rPr>
            </w:pPr>
            <w:r w:rsidRPr="00213067">
              <w:rPr>
                <w:rFonts w:cs="Arial"/>
                <w:bCs/>
                <w:sz w:val="20"/>
                <w:szCs w:val="20"/>
              </w:rPr>
              <w:t>Deputy Director-General</w:t>
            </w:r>
          </w:p>
          <w:p w14:paraId="20D101AA" w14:textId="514C9684" w:rsidR="00506092" w:rsidRPr="00213067" w:rsidRDefault="00506092" w:rsidP="00AA7419">
            <w:pPr>
              <w:tabs>
                <w:tab w:val="left" w:pos="567"/>
                <w:tab w:val="left" w:pos="1134"/>
                <w:tab w:val="left" w:pos="1701"/>
              </w:tabs>
              <w:jc w:val="both"/>
              <w:rPr>
                <w:rFonts w:cs="Arial"/>
                <w:sz w:val="20"/>
                <w:szCs w:val="20"/>
              </w:rPr>
            </w:pPr>
            <w:r w:rsidRPr="00213067">
              <w:rPr>
                <w:rFonts w:cs="Arial"/>
                <w:bCs/>
                <w:sz w:val="20"/>
                <w:szCs w:val="20"/>
              </w:rPr>
              <w:t>Investment Division</w:t>
            </w:r>
          </w:p>
        </w:tc>
      </w:tr>
      <w:tr w:rsidR="00506092" w:rsidRPr="00213067" w14:paraId="6556DFD2" w14:textId="77777777" w:rsidTr="00213067">
        <w:tc>
          <w:tcPr>
            <w:tcW w:w="937" w:type="pct"/>
            <w:shd w:val="clear" w:color="auto" w:fill="auto"/>
          </w:tcPr>
          <w:p w14:paraId="754D7C63" w14:textId="77777777" w:rsidR="00506092" w:rsidRPr="00213067" w:rsidRDefault="00506092" w:rsidP="00213067">
            <w:pPr>
              <w:autoSpaceDE w:val="0"/>
              <w:autoSpaceDN w:val="0"/>
              <w:adjustRightInd w:val="0"/>
              <w:rPr>
                <w:rFonts w:cs="Arial"/>
                <w:sz w:val="20"/>
                <w:szCs w:val="20"/>
              </w:rPr>
            </w:pPr>
            <w:r w:rsidRPr="00213067">
              <w:rPr>
                <w:rFonts w:cs="Arial"/>
                <w:sz w:val="20"/>
                <w:szCs w:val="20"/>
              </w:rPr>
              <w:t>Approval date:</w:t>
            </w:r>
          </w:p>
        </w:tc>
        <w:tc>
          <w:tcPr>
            <w:tcW w:w="4063" w:type="pct"/>
            <w:shd w:val="clear" w:color="auto" w:fill="auto"/>
          </w:tcPr>
          <w:p w14:paraId="38A9CE29" w14:textId="1C2BDF3E" w:rsidR="00506092" w:rsidRPr="00213067" w:rsidRDefault="00506092" w:rsidP="00506092">
            <w:pPr>
              <w:autoSpaceDE w:val="0"/>
              <w:autoSpaceDN w:val="0"/>
              <w:adjustRightInd w:val="0"/>
              <w:rPr>
                <w:rFonts w:cs="Arial"/>
                <w:sz w:val="20"/>
                <w:szCs w:val="20"/>
              </w:rPr>
            </w:pPr>
            <w:r w:rsidRPr="00213067">
              <w:rPr>
                <w:rFonts w:cs="Arial"/>
                <w:bCs/>
                <w:sz w:val="20"/>
                <w:szCs w:val="20"/>
              </w:rPr>
              <w:t>June 2019</w:t>
            </w:r>
          </w:p>
        </w:tc>
      </w:tr>
      <w:tr w:rsidR="00506092" w:rsidRPr="00213067" w14:paraId="3624A148" w14:textId="77777777" w:rsidTr="00213067">
        <w:tc>
          <w:tcPr>
            <w:tcW w:w="937" w:type="pct"/>
            <w:shd w:val="clear" w:color="auto" w:fill="auto"/>
          </w:tcPr>
          <w:p w14:paraId="50D56ED4" w14:textId="77777777" w:rsidR="00506092" w:rsidRPr="00213067" w:rsidRDefault="00506092" w:rsidP="00213067">
            <w:pPr>
              <w:autoSpaceDE w:val="0"/>
              <w:autoSpaceDN w:val="0"/>
              <w:adjustRightInd w:val="0"/>
              <w:rPr>
                <w:rFonts w:cs="Arial"/>
                <w:sz w:val="20"/>
                <w:szCs w:val="20"/>
              </w:rPr>
            </w:pPr>
            <w:r w:rsidRPr="00213067">
              <w:rPr>
                <w:rFonts w:cs="Arial"/>
                <w:sz w:val="20"/>
                <w:szCs w:val="20"/>
              </w:rPr>
              <w:t>Effective date:</w:t>
            </w:r>
          </w:p>
        </w:tc>
        <w:tc>
          <w:tcPr>
            <w:tcW w:w="4063" w:type="pct"/>
            <w:shd w:val="clear" w:color="auto" w:fill="auto"/>
          </w:tcPr>
          <w:p w14:paraId="2709984E" w14:textId="471011DA" w:rsidR="00506092" w:rsidRPr="00213067" w:rsidRDefault="00506092" w:rsidP="00506092">
            <w:pPr>
              <w:autoSpaceDE w:val="0"/>
              <w:autoSpaceDN w:val="0"/>
              <w:adjustRightInd w:val="0"/>
              <w:rPr>
                <w:rFonts w:cs="Arial"/>
                <w:sz w:val="20"/>
                <w:szCs w:val="20"/>
              </w:rPr>
            </w:pPr>
            <w:r w:rsidRPr="00213067">
              <w:rPr>
                <w:rFonts w:cs="Arial"/>
                <w:bCs/>
                <w:sz w:val="20"/>
                <w:szCs w:val="20"/>
              </w:rPr>
              <w:t>1 July 2019</w:t>
            </w:r>
          </w:p>
        </w:tc>
      </w:tr>
      <w:tr w:rsidR="00506092" w:rsidRPr="00213067" w14:paraId="1BD1A578" w14:textId="77777777" w:rsidTr="00213067">
        <w:tc>
          <w:tcPr>
            <w:tcW w:w="937" w:type="pct"/>
            <w:shd w:val="clear" w:color="auto" w:fill="auto"/>
          </w:tcPr>
          <w:p w14:paraId="364C22CB" w14:textId="77777777" w:rsidR="00506092" w:rsidRPr="00213067" w:rsidRDefault="00506092" w:rsidP="00213067">
            <w:pPr>
              <w:autoSpaceDE w:val="0"/>
              <w:autoSpaceDN w:val="0"/>
              <w:adjustRightInd w:val="0"/>
              <w:rPr>
                <w:rFonts w:cs="Arial"/>
                <w:sz w:val="20"/>
                <w:szCs w:val="20"/>
              </w:rPr>
            </w:pPr>
            <w:r w:rsidRPr="00213067">
              <w:rPr>
                <w:rFonts w:cs="Arial"/>
                <w:sz w:val="20"/>
                <w:szCs w:val="20"/>
              </w:rPr>
              <w:t xml:space="preserve">Review by date: </w:t>
            </w:r>
          </w:p>
        </w:tc>
        <w:tc>
          <w:tcPr>
            <w:tcW w:w="4063" w:type="pct"/>
            <w:shd w:val="clear" w:color="auto" w:fill="auto"/>
          </w:tcPr>
          <w:p w14:paraId="21DFA535" w14:textId="392DD554" w:rsidR="00506092" w:rsidRPr="00213067" w:rsidRDefault="00506092" w:rsidP="00506092">
            <w:pPr>
              <w:autoSpaceDE w:val="0"/>
              <w:autoSpaceDN w:val="0"/>
              <w:adjustRightInd w:val="0"/>
              <w:rPr>
                <w:rFonts w:cs="Arial"/>
                <w:bCs/>
                <w:sz w:val="20"/>
                <w:szCs w:val="20"/>
              </w:rPr>
            </w:pPr>
            <w:r w:rsidRPr="00213067">
              <w:rPr>
                <w:rFonts w:cs="Arial"/>
                <w:bCs/>
                <w:sz w:val="20"/>
                <w:szCs w:val="20"/>
              </w:rPr>
              <w:t>30 June 2020</w:t>
            </w:r>
          </w:p>
        </w:tc>
      </w:tr>
      <w:tr w:rsidR="00506092" w:rsidRPr="00213067" w14:paraId="2C55C98E" w14:textId="77777777" w:rsidTr="00213067">
        <w:trPr>
          <w:trHeight w:val="901"/>
        </w:trPr>
        <w:tc>
          <w:tcPr>
            <w:tcW w:w="937" w:type="pct"/>
            <w:shd w:val="clear" w:color="auto" w:fill="auto"/>
          </w:tcPr>
          <w:p w14:paraId="54C59D72" w14:textId="77777777" w:rsidR="00506092" w:rsidRPr="00213067" w:rsidRDefault="00506092" w:rsidP="00213067">
            <w:pPr>
              <w:autoSpaceDE w:val="0"/>
              <w:autoSpaceDN w:val="0"/>
              <w:adjustRightInd w:val="0"/>
              <w:rPr>
                <w:rFonts w:cs="Arial"/>
                <w:sz w:val="20"/>
                <w:szCs w:val="20"/>
              </w:rPr>
            </w:pPr>
            <w:r w:rsidRPr="00213067">
              <w:rPr>
                <w:rFonts w:cs="Arial"/>
                <w:sz w:val="20"/>
                <w:szCs w:val="20"/>
              </w:rPr>
              <w:t>Related policies and documents:</w:t>
            </w:r>
          </w:p>
        </w:tc>
        <w:tc>
          <w:tcPr>
            <w:tcW w:w="4063" w:type="pct"/>
            <w:shd w:val="clear" w:color="auto" w:fill="auto"/>
          </w:tcPr>
          <w:p w14:paraId="55EC156C" w14:textId="77777777" w:rsidR="00AA7419" w:rsidRPr="00213067" w:rsidRDefault="00AA7419" w:rsidP="00AA7419">
            <w:pPr>
              <w:pStyle w:val="ColorfulList-Accent11"/>
              <w:numPr>
                <w:ilvl w:val="0"/>
                <w:numId w:val="23"/>
              </w:numPr>
              <w:spacing w:line="276" w:lineRule="auto"/>
              <w:contextualSpacing/>
              <w:rPr>
                <w:rStyle w:val="Hyperlink"/>
                <w:rFonts w:cs="Arial"/>
                <w:i/>
                <w:color w:val="auto"/>
                <w:sz w:val="20"/>
                <w:u w:val="none"/>
              </w:rPr>
            </w:pPr>
            <w:r w:rsidRPr="00213067">
              <w:rPr>
                <w:rStyle w:val="Hyperlink"/>
                <w:i/>
                <w:color w:val="auto"/>
                <w:sz w:val="20"/>
                <w:u w:val="none"/>
              </w:rPr>
              <w:fldChar w:fldCharType="begin"/>
            </w:r>
            <w:r w:rsidRPr="00213067">
              <w:rPr>
                <w:rStyle w:val="Hyperlink"/>
                <w:i/>
                <w:color w:val="auto"/>
                <w:sz w:val="20"/>
                <w:u w:val="none"/>
              </w:rPr>
              <w:instrText xml:space="preserve"> HYPERLINK "http://www.training.qld.gov.au/training-organisations/pre-qualified-suppliers/pqs-policies-publications-forms/index.html" </w:instrText>
            </w:r>
            <w:r w:rsidRPr="00213067">
              <w:rPr>
                <w:rStyle w:val="Hyperlink"/>
                <w:i/>
                <w:color w:val="auto"/>
                <w:sz w:val="20"/>
                <w:u w:val="none"/>
              </w:rPr>
              <w:fldChar w:fldCharType="separate"/>
            </w:r>
            <w:r w:rsidRPr="00213067">
              <w:rPr>
                <w:rStyle w:val="Hyperlink"/>
                <w:rFonts w:cs="Arial"/>
                <w:i/>
                <w:color w:val="auto"/>
                <w:sz w:val="20"/>
                <w:u w:val="none"/>
              </w:rPr>
              <w:t xml:space="preserve">Vocational Education and Training Pre-qualified Supplier Agreement </w:t>
            </w:r>
            <w:r w:rsidRPr="00213067">
              <w:rPr>
                <w:rStyle w:val="Hyperlink"/>
                <w:rFonts w:cs="Arial"/>
                <w:i/>
                <w:color w:val="auto"/>
                <w:sz w:val="20"/>
                <w:u w:val="none"/>
              </w:rPr>
              <w:br/>
              <w:t>(PQS Agreement)</w:t>
            </w:r>
          </w:p>
          <w:p w14:paraId="5CFEC4BF" w14:textId="0361C37E" w:rsidR="00AA7419" w:rsidRPr="00213067" w:rsidRDefault="00AA7419" w:rsidP="00AA7419">
            <w:pPr>
              <w:pStyle w:val="ColorfulList-Accent11"/>
              <w:numPr>
                <w:ilvl w:val="0"/>
                <w:numId w:val="23"/>
              </w:numPr>
              <w:spacing w:line="276" w:lineRule="auto"/>
              <w:contextualSpacing/>
              <w:rPr>
                <w:rStyle w:val="Hyperlink"/>
                <w:rFonts w:cs="Arial"/>
                <w:i/>
                <w:color w:val="auto"/>
                <w:sz w:val="20"/>
                <w:u w:val="none"/>
              </w:rPr>
            </w:pPr>
            <w:r w:rsidRPr="00213067">
              <w:rPr>
                <w:rStyle w:val="Hyperlink"/>
                <w:i/>
                <w:color w:val="auto"/>
                <w:sz w:val="20"/>
                <w:u w:val="none"/>
              </w:rPr>
              <w:fldChar w:fldCharType="end"/>
            </w:r>
            <w:r w:rsidRPr="00213067">
              <w:rPr>
                <w:rStyle w:val="Hyperlink"/>
                <w:i/>
                <w:color w:val="auto"/>
                <w:sz w:val="20"/>
                <w:u w:val="none"/>
              </w:rPr>
              <w:fldChar w:fldCharType="begin"/>
            </w:r>
            <w:r w:rsidRPr="00213067">
              <w:rPr>
                <w:rStyle w:val="Hyperlink"/>
                <w:i/>
                <w:color w:val="auto"/>
                <w:sz w:val="20"/>
                <w:u w:val="none"/>
              </w:rPr>
              <w:instrText>HYPERLINK "http://www.training.qld.gov.au/training-organisations/funded-programs/certificate3/index.html" \l "documents"</w:instrText>
            </w:r>
            <w:r w:rsidRPr="00213067">
              <w:rPr>
                <w:rStyle w:val="Hyperlink"/>
                <w:i/>
                <w:color w:val="auto"/>
                <w:sz w:val="20"/>
                <w:u w:val="none"/>
              </w:rPr>
              <w:fldChar w:fldCharType="separate"/>
            </w:r>
            <w:r w:rsidRPr="00213067">
              <w:rPr>
                <w:rStyle w:val="Hyperlink"/>
                <w:rFonts w:cs="Arial"/>
                <w:i/>
                <w:color w:val="auto"/>
                <w:sz w:val="20"/>
                <w:u w:val="none"/>
              </w:rPr>
              <w:t>Certificate 3 Guarantee Program Policy 2019–20</w:t>
            </w:r>
          </w:p>
          <w:p w14:paraId="34CEBE89" w14:textId="3CC19AF3" w:rsidR="00AA7419" w:rsidRPr="00213067" w:rsidRDefault="00AA7419" w:rsidP="00AA7419">
            <w:pPr>
              <w:pStyle w:val="ColorfulList-Accent11"/>
              <w:numPr>
                <w:ilvl w:val="0"/>
                <w:numId w:val="23"/>
              </w:numPr>
              <w:spacing w:line="276" w:lineRule="auto"/>
              <w:contextualSpacing/>
              <w:rPr>
                <w:rStyle w:val="Hyperlink"/>
                <w:rFonts w:cs="Arial"/>
                <w:i/>
                <w:color w:val="auto"/>
                <w:sz w:val="20"/>
                <w:u w:val="none"/>
              </w:rPr>
            </w:pPr>
            <w:r w:rsidRPr="00213067">
              <w:rPr>
                <w:rStyle w:val="Hyperlink"/>
                <w:i/>
                <w:color w:val="auto"/>
                <w:sz w:val="20"/>
                <w:u w:val="none"/>
              </w:rPr>
              <w:fldChar w:fldCharType="end"/>
            </w:r>
            <w:r w:rsidRPr="00213067">
              <w:rPr>
                <w:rStyle w:val="Hyperlink"/>
                <w:i/>
                <w:color w:val="auto"/>
                <w:sz w:val="20"/>
                <w:u w:val="none"/>
              </w:rPr>
              <w:fldChar w:fldCharType="begin"/>
            </w:r>
            <w:r w:rsidRPr="00213067">
              <w:rPr>
                <w:rStyle w:val="Hyperlink"/>
                <w:i/>
                <w:color w:val="auto"/>
                <w:sz w:val="20"/>
                <w:u w:val="none"/>
              </w:rPr>
              <w:instrText xml:space="preserve"> HYPERLINK "http://www.training.qld.gov.au/training-organisations/funded-programs/higher-level-skills.html" \l "documents" </w:instrText>
            </w:r>
            <w:r w:rsidRPr="00213067">
              <w:rPr>
                <w:rStyle w:val="Hyperlink"/>
                <w:i/>
                <w:color w:val="auto"/>
                <w:sz w:val="20"/>
                <w:u w:val="none"/>
              </w:rPr>
              <w:fldChar w:fldCharType="separate"/>
            </w:r>
            <w:r w:rsidRPr="00213067">
              <w:rPr>
                <w:rStyle w:val="Hyperlink"/>
                <w:rFonts w:cs="Arial"/>
                <w:i/>
                <w:color w:val="auto"/>
                <w:sz w:val="20"/>
                <w:u w:val="none"/>
              </w:rPr>
              <w:t>Higher Level Skills Program Policy 2019–20</w:t>
            </w:r>
          </w:p>
          <w:p w14:paraId="7A705DDD" w14:textId="77777777" w:rsidR="00AA7419" w:rsidRPr="00213067" w:rsidRDefault="00AA7419" w:rsidP="00AA7419">
            <w:pPr>
              <w:pStyle w:val="ColorfulList-Accent11"/>
              <w:numPr>
                <w:ilvl w:val="0"/>
                <w:numId w:val="23"/>
              </w:numPr>
              <w:spacing w:line="276" w:lineRule="auto"/>
              <w:contextualSpacing/>
              <w:rPr>
                <w:rStyle w:val="Hyperlink"/>
                <w:i/>
                <w:color w:val="auto"/>
                <w:sz w:val="20"/>
                <w:u w:val="none"/>
              </w:rPr>
            </w:pPr>
            <w:r w:rsidRPr="00213067">
              <w:rPr>
                <w:rStyle w:val="Hyperlink"/>
                <w:i/>
                <w:color w:val="auto"/>
                <w:sz w:val="20"/>
                <w:u w:val="none"/>
              </w:rPr>
              <w:fldChar w:fldCharType="end"/>
            </w:r>
            <w:r w:rsidRPr="00213067">
              <w:rPr>
                <w:rStyle w:val="Hyperlink"/>
                <w:i/>
                <w:color w:val="auto"/>
                <w:sz w:val="20"/>
                <w:u w:val="none"/>
              </w:rPr>
              <w:t>Pre-qualified Supplier Audit Evidence Requirements (VET Investment Programs)</w:t>
            </w:r>
          </w:p>
          <w:p w14:paraId="367E74DB" w14:textId="43CDEE28" w:rsidR="00506092" w:rsidRPr="00213067" w:rsidRDefault="00D80A91" w:rsidP="00AA7419">
            <w:pPr>
              <w:pStyle w:val="ListParagraph0"/>
              <w:numPr>
                <w:ilvl w:val="0"/>
                <w:numId w:val="23"/>
              </w:numPr>
              <w:tabs>
                <w:tab w:val="left" w:pos="567"/>
                <w:tab w:val="left" w:pos="1134"/>
                <w:tab w:val="left" w:pos="1701"/>
              </w:tabs>
              <w:spacing w:line="240" w:lineRule="auto"/>
              <w:contextualSpacing/>
              <w:rPr>
                <w:rFonts w:eastAsia="SimSun" w:cs="Arial"/>
                <w:bCs/>
                <w:i/>
                <w:sz w:val="20"/>
                <w:szCs w:val="20"/>
              </w:rPr>
            </w:pPr>
            <w:hyperlink r:id="rId8" w:history="1">
              <w:r w:rsidR="00AA7419" w:rsidRPr="00213067">
                <w:rPr>
                  <w:rStyle w:val="Hyperlink"/>
                  <w:rFonts w:cs="Arial"/>
                  <w:color w:val="auto"/>
                  <w:sz w:val="20"/>
                  <w:szCs w:val="20"/>
                  <w:u w:val="none"/>
                </w:rPr>
                <w:t>Skilling Queenslanders for Work</w:t>
              </w:r>
            </w:hyperlink>
          </w:p>
        </w:tc>
      </w:tr>
      <w:tr w:rsidR="00506092" w:rsidRPr="00213067" w14:paraId="75B388D9" w14:textId="77777777" w:rsidTr="00213067">
        <w:tc>
          <w:tcPr>
            <w:tcW w:w="937" w:type="pct"/>
            <w:shd w:val="clear" w:color="auto" w:fill="auto"/>
          </w:tcPr>
          <w:p w14:paraId="722217D0" w14:textId="77777777" w:rsidR="00506092" w:rsidRPr="00213067" w:rsidRDefault="00506092" w:rsidP="00213067">
            <w:pPr>
              <w:autoSpaceDE w:val="0"/>
              <w:autoSpaceDN w:val="0"/>
              <w:adjustRightInd w:val="0"/>
              <w:rPr>
                <w:rFonts w:cs="Arial"/>
                <w:sz w:val="20"/>
                <w:szCs w:val="20"/>
              </w:rPr>
            </w:pPr>
            <w:r w:rsidRPr="00213067">
              <w:rPr>
                <w:rFonts w:cs="Arial"/>
                <w:sz w:val="20"/>
                <w:szCs w:val="20"/>
              </w:rPr>
              <w:t>Version control:</w:t>
            </w:r>
          </w:p>
        </w:tc>
        <w:tc>
          <w:tcPr>
            <w:tcW w:w="4063" w:type="pct"/>
            <w:shd w:val="clear" w:color="auto" w:fill="auto"/>
          </w:tcPr>
          <w:p w14:paraId="20F86E7E" w14:textId="0DEF2195" w:rsidR="00506092" w:rsidRPr="00213067" w:rsidRDefault="00506092" w:rsidP="00213067">
            <w:pPr>
              <w:tabs>
                <w:tab w:val="left" w:pos="567"/>
                <w:tab w:val="left" w:pos="1134"/>
                <w:tab w:val="left" w:pos="1701"/>
              </w:tabs>
              <w:jc w:val="both"/>
              <w:rPr>
                <w:rFonts w:cs="Arial"/>
                <w:bCs/>
                <w:sz w:val="20"/>
                <w:szCs w:val="20"/>
              </w:rPr>
            </w:pPr>
            <w:r w:rsidRPr="00213067">
              <w:rPr>
                <w:rFonts w:cs="Arial"/>
                <w:bCs/>
                <w:sz w:val="20"/>
                <w:szCs w:val="20"/>
              </w:rPr>
              <w:t>Version: 1</w:t>
            </w:r>
            <w:r w:rsidR="00AA7419" w:rsidRPr="00213067">
              <w:rPr>
                <w:rFonts w:cs="Arial"/>
                <w:bCs/>
                <w:sz w:val="20"/>
                <w:szCs w:val="20"/>
              </w:rPr>
              <w:t>.0</w:t>
            </w:r>
          </w:p>
        </w:tc>
      </w:tr>
    </w:tbl>
    <w:p w14:paraId="619B8A60" w14:textId="77777777" w:rsidR="00506092" w:rsidRDefault="00506092" w:rsidP="00213067">
      <w:pPr>
        <w:pStyle w:val="BodyText"/>
        <w:spacing w:before="0" w:after="0" w:line="240" w:lineRule="auto"/>
        <w:rPr>
          <w:rFonts w:eastAsia="Calibri"/>
          <w:sz w:val="18"/>
        </w:rPr>
      </w:pPr>
    </w:p>
    <w:p w14:paraId="535BA468" w14:textId="323AFC16" w:rsidR="00506092" w:rsidRPr="00213067" w:rsidRDefault="00506092" w:rsidP="00213067">
      <w:pPr>
        <w:autoSpaceDE w:val="0"/>
        <w:autoSpaceDN w:val="0"/>
        <w:adjustRightInd w:val="0"/>
        <w:spacing w:after="120"/>
        <w:rPr>
          <w:rStyle w:val="Hyperlink"/>
          <w:rFonts w:cs="Arial"/>
          <w:sz w:val="20"/>
          <w:szCs w:val="20"/>
        </w:rPr>
      </w:pPr>
      <w:r w:rsidRPr="00213067">
        <w:rPr>
          <w:rFonts w:cs="Arial"/>
          <w:sz w:val="20"/>
          <w:szCs w:val="20"/>
        </w:rPr>
        <w:t xml:space="preserve">All documents are available online at: </w:t>
      </w:r>
      <w:hyperlink r:id="rId9" w:history="1">
        <w:r w:rsidRPr="00213067">
          <w:rPr>
            <w:rStyle w:val="Hyperlink"/>
            <w:rFonts w:cs="Arial"/>
            <w:sz w:val="20"/>
            <w:szCs w:val="20"/>
          </w:rPr>
          <w:t>www.desbt.qld.gov.au/training</w:t>
        </w:r>
      </w:hyperlink>
      <w:r w:rsidRPr="00213067">
        <w:rPr>
          <w:rFonts w:cs="Arial"/>
          <w:sz w:val="20"/>
          <w:szCs w:val="20"/>
        </w:rPr>
        <w:t>.</w:t>
      </w:r>
    </w:p>
    <w:p w14:paraId="4B6E9EB2" w14:textId="77777777" w:rsidR="00AA7419" w:rsidRDefault="00AA7419" w:rsidP="00AA7419">
      <w:pPr>
        <w:pStyle w:val="Header1policy"/>
        <w:outlineLvl w:val="0"/>
      </w:pPr>
      <w:r w:rsidRPr="00650238">
        <w:t>Background</w:t>
      </w:r>
    </w:p>
    <w:p w14:paraId="1D0260FC" w14:textId="77777777" w:rsidR="00AA7419" w:rsidRPr="00213067" w:rsidRDefault="00AA7419" w:rsidP="00050CA0">
      <w:pPr>
        <w:spacing w:before="120"/>
        <w:rPr>
          <w:rFonts w:cs="Arial"/>
          <w:sz w:val="20"/>
          <w:szCs w:val="20"/>
        </w:rPr>
      </w:pPr>
      <w:r w:rsidRPr="00213067">
        <w:rPr>
          <w:rFonts w:eastAsia="SimSun" w:cs="Arial"/>
          <w:sz w:val="20"/>
          <w:szCs w:val="20"/>
        </w:rPr>
        <w:t xml:space="preserve">The Queensland Government is committed to providing Queenslanders with access to a high quality vocational education and training (VET) sector — one that supports </w:t>
      </w:r>
      <w:r w:rsidRPr="00213067">
        <w:rPr>
          <w:rFonts w:cs="Arial"/>
          <w:sz w:val="20"/>
          <w:szCs w:val="20"/>
        </w:rPr>
        <w:t>a globally competitive Queensland economy,</w:t>
      </w:r>
      <w:r w:rsidRPr="00213067">
        <w:rPr>
          <w:rFonts w:eastAsia="SimSun" w:cs="Arial"/>
          <w:sz w:val="20"/>
          <w:szCs w:val="20"/>
        </w:rPr>
        <w:t xml:space="preserve"> and delivers knowledgeable and skilled graduates equipped to meet job demands now and into the future</w:t>
      </w:r>
      <w:r w:rsidRPr="00213067">
        <w:rPr>
          <w:rFonts w:cs="Arial"/>
          <w:sz w:val="20"/>
          <w:szCs w:val="20"/>
        </w:rPr>
        <w:t>.</w:t>
      </w:r>
    </w:p>
    <w:p w14:paraId="25D5244C" w14:textId="77777777" w:rsidR="00AA7419" w:rsidRPr="00213067" w:rsidRDefault="00AA7419" w:rsidP="00050CA0">
      <w:pPr>
        <w:spacing w:before="120"/>
        <w:rPr>
          <w:rFonts w:cs="Arial"/>
          <w:sz w:val="20"/>
          <w:szCs w:val="20"/>
        </w:rPr>
      </w:pPr>
      <w:r w:rsidRPr="00213067">
        <w:rPr>
          <w:rFonts w:cs="Arial"/>
          <w:sz w:val="20"/>
          <w:szCs w:val="20"/>
        </w:rPr>
        <w:t xml:space="preserve">Training delivered under Queensland’s VET investment framework is based on pre-qualified supplier (PQS) arrangements, where funding notionally follows the eligible student to their choice of PQS and course. Registered training organisations (RTOs) that wish to participate in subsidised training programs administered by Queensland’s Department of Employment, Small Business and Training (the department) must be approved as a PQS in Queensland. </w:t>
      </w:r>
    </w:p>
    <w:p w14:paraId="73FF2774" w14:textId="77777777" w:rsidR="00AA7419" w:rsidRPr="00213067" w:rsidRDefault="00AA7419" w:rsidP="00050CA0">
      <w:pPr>
        <w:spacing w:before="120"/>
        <w:rPr>
          <w:rFonts w:cs="Arial"/>
          <w:sz w:val="20"/>
          <w:szCs w:val="20"/>
        </w:rPr>
      </w:pPr>
      <w:r w:rsidRPr="00213067">
        <w:rPr>
          <w:rFonts w:cs="Arial"/>
          <w:sz w:val="20"/>
          <w:szCs w:val="20"/>
        </w:rPr>
        <w:t xml:space="preserve">The PQS system is intended to provide prospective students and employers with peace of mind that providers possess the capability to deliver positive training experiences and quality skills outcomes. </w:t>
      </w:r>
    </w:p>
    <w:p w14:paraId="0038641B" w14:textId="77777777" w:rsidR="00AA7419" w:rsidRPr="00213067" w:rsidRDefault="00AA7419" w:rsidP="00050CA0">
      <w:pPr>
        <w:spacing w:before="120"/>
        <w:rPr>
          <w:rFonts w:cs="Arial"/>
          <w:sz w:val="20"/>
          <w:szCs w:val="20"/>
        </w:rPr>
      </w:pPr>
      <w:r w:rsidRPr="00213067">
        <w:rPr>
          <w:rFonts w:cs="Arial"/>
          <w:sz w:val="20"/>
          <w:szCs w:val="20"/>
        </w:rPr>
        <w:t xml:space="preserve">Key principles of the PQS system include: </w:t>
      </w:r>
    </w:p>
    <w:p w14:paraId="0E6501D4" w14:textId="77777777" w:rsidR="00AA7419" w:rsidRPr="00213067" w:rsidRDefault="00AA7419" w:rsidP="00AA7419">
      <w:pPr>
        <w:pStyle w:val="ListParagraph0"/>
        <w:numPr>
          <w:ilvl w:val="0"/>
          <w:numId w:val="28"/>
        </w:numPr>
        <w:spacing w:before="0" w:after="0" w:line="240" w:lineRule="auto"/>
        <w:contextualSpacing/>
        <w:rPr>
          <w:rFonts w:cs="Arial"/>
          <w:sz w:val="20"/>
          <w:szCs w:val="20"/>
        </w:rPr>
      </w:pPr>
      <w:r w:rsidRPr="00213067">
        <w:rPr>
          <w:rFonts w:eastAsia="SimSun" w:cs="Arial"/>
          <w:sz w:val="20"/>
          <w:szCs w:val="20"/>
        </w:rPr>
        <w:t>students are able to make informed and considered choices that support their best interests</w:t>
      </w:r>
    </w:p>
    <w:p w14:paraId="5403E753" w14:textId="77777777" w:rsidR="00AA7419" w:rsidRPr="00213067" w:rsidRDefault="00AA7419" w:rsidP="00AA7419">
      <w:pPr>
        <w:pStyle w:val="ListParagraph0"/>
        <w:numPr>
          <w:ilvl w:val="0"/>
          <w:numId w:val="28"/>
        </w:numPr>
        <w:spacing w:before="0" w:after="0" w:line="240" w:lineRule="auto"/>
        <w:contextualSpacing/>
        <w:rPr>
          <w:rFonts w:cs="Arial"/>
          <w:sz w:val="20"/>
          <w:szCs w:val="20"/>
        </w:rPr>
      </w:pPr>
      <w:r w:rsidRPr="00213067">
        <w:rPr>
          <w:rFonts w:eastAsia="SimSun" w:cs="Arial"/>
          <w:sz w:val="20"/>
          <w:szCs w:val="20"/>
        </w:rPr>
        <w:t>training investment is aligned to the skills needs of industry and Queensland’s economy</w:t>
      </w:r>
    </w:p>
    <w:p w14:paraId="34CE4409" w14:textId="77777777" w:rsidR="00AA7419" w:rsidRPr="00213067" w:rsidRDefault="00AA7419" w:rsidP="00AA7419">
      <w:pPr>
        <w:pStyle w:val="ListParagraph0"/>
        <w:numPr>
          <w:ilvl w:val="0"/>
          <w:numId w:val="28"/>
        </w:numPr>
        <w:spacing w:before="0" w:after="0" w:line="240" w:lineRule="auto"/>
        <w:contextualSpacing/>
        <w:rPr>
          <w:rFonts w:cs="Arial"/>
          <w:sz w:val="20"/>
          <w:szCs w:val="20"/>
        </w:rPr>
      </w:pPr>
      <w:r w:rsidRPr="00213067">
        <w:rPr>
          <w:rFonts w:eastAsia="SimSun" w:cs="Arial"/>
          <w:sz w:val="20"/>
          <w:szCs w:val="20"/>
        </w:rPr>
        <w:t>quality VET services are provided</w:t>
      </w:r>
    </w:p>
    <w:p w14:paraId="6814D400" w14:textId="77777777" w:rsidR="00AA7419" w:rsidRPr="00213067" w:rsidRDefault="00AA7419" w:rsidP="00AA7419">
      <w:pPr>
        <w:pStyle w:val="ListParagraph0"/>
        <w:numPr>
          <w:ilvl w:val="0"/>
          <w:numId w:val="28"/>
        </w:numPr>
        <w:spacing w:before="0" w:after="0" w:line="240" w:lineRule="auto"/>
        <w:contextualSpacing/>
        <w:rPr>
          <w:rFonts w:cs="Arial"/>
          <w:sz w:val="20"/>
          <w:szCs w:val="20"/>
        </w:rPr>
      </w:pPr>
      <w:proofErr w:type="gramStart"/>
      <w:r w:rsidRPr="00213067">
        <w:rPr>
          <w:rFonts w:eastAsia="SimSun" w:cs="Arial"/>
          <w:sz w:val="20"/>
          <w:szCs w:val="20"/>
        </w:rPr>
        <w:t>an</w:t>
      </w:r>
      <w:proofErr w:type="gramEnd"/>
      <w:r w:rsidRPr="00213067">
        <w:rPr>
          <w:rFonts w:eastAsia="SimSun" w:cs="Arial"/>
          <w:sz w:val="20"/>
          <w:szCs w:val="20"/>
        </w:rPr>
        <w:t xml:space="preserve"> inclusive training environment.</w:t>
      </w:r>
    </w:p>
    <w:p w14:paraId="07D8A0BE" w14:textId="77777777" w:rsidR="00DB0C18" w:rsidRPr="005362B6" w:rsidRDefault="00DB0C18" w:rsidP="00AA7419">
      <w:pPr>
        <w:rPr>
          <w:rFonts w:eastAsia="SimSun" w:cs="Arial"/>
          <w:szCs w:val="22"/>
        </w:rPr>
      </w:pPr>
    </w:p>
    <w:p w14:paraId="1E9E33BE" w14:textId="77777777" w:rsidR="00AA7419" w:rsidRPr="00650238" w:rsidRDefault="00AA7419" w:rsidP="00AA7419">
      <w:pPr>
        <w:pStyle w:val="Header1policy"/>
        <w:outlineLvl w:val="0"/>
      </w:pPr>
      <w:r w:rsidRPr="00650238">
        <w:t>Overview</w:t>
      </w:r>
    </w:p>
    <w:p w14:paraId="79AAD077" w14:textId="77777777" w:rsidR="00AA7419" w:rsidRDefault="00AA7419" w:rsidP="00050CA0">
      <w:pPr>
        <w:pStyle w:val="ColorfulList-Accent11"/>
        <w:overflowPunct/>
        <w:autoSpaceDE/>
        <w:autoSpaceDN/>
        <w:adjustRightInd/>
        <w:spacing w:before="120"/>
        <w:ind w:left="0"/>
        <w:contextualSpacing/>
        <w:textAlignment w:val="auto"/>
        <w:rPr>
          <w:rFonts w:eastAsia="SimSun" w:cs="Arial"/>
          <w:sz w:val="20"/>
        </w:rPr>
      </w:pPr>
      <w:r w:rsidRPr="002128C2">
        <w:rPr>
          <w:rFonts w:eastAsia="SimSun" w:cs="Arial"/>
          <w:sz w:val="20"/>
        </w:rPr>
        <w:t>The purpose of this policy is to outline performance standards and expectations for PQS, and the terms and conditions for accessing Queensland Government funding to deliver training</w:t>
      </w:r>
      <w:r>
        <w:rPr>
          <w:rFonts w:eastAsia="SimSun" w:cs="Arial"/>
          <w:sz w:val="20"/>
        </w:rPr>
        <w:t xml:space="preserve"> and assessment services</w:t>
      </w:r>
      <w:r w:rsidRPr="002128C2">
        <w:rPr>
          <w:rFonts w:eastAsia="SimSun" w:cs="Arial"/>
          <w:sz w:val="20"/>
        </w:rPr>
        <w:t>.</w:t>
      </w:r>
    </w:p>
    <w:p w14:paraId="57F5EF2D" w14:textId="77777777" w:rsidR="00AA7419" w:rsidRPr="002128C2" w:rsidRDefault="00AA7419" w:rsidP="00050CA0">
      <w:pPr>
        <w:pStyle w:val="ColorfulList-Accent11"/>
        <w:overflowPunct/>
        <w:autoSpaceDE/>
        <w:autoSpaceDN/>
        <w:adjustRightInd/>
        <w:spacing w:before="120"/>
        <w:ind w:left="0"/>
        <w:textAlignment w:val="auto"/>
        <w:rPr>
          <w:rFonts w:eastAsia="SimSun" w:cs="Arial"/>
          <w:sz w:val="20"/>
        </w:rPr>
      </w:pPr>
      <w:r w:rsidRPr="002128C2">
        <w:rPr>
          <w:rFonts w:eastAsia="SimSun" w:cs="Arial"/>
          <w:sz w:val="20"/>
        </w:rPr>
        <w:t>The focus of the department’s performance monitoring and evaluation activities is to ensure government receives value for money for its investment in VET outcomes. Importantly, this includes ensuring eligible individuals are accessing quality training to develop skills in areas of demand from industry, which leads to them gaining employment or improving their career prospects.</w:t>
      </w:r>
    </w:p>
    <w:p w14:paraId="4DD1F0A6" w14:textId="77777777" w:rsidR="00AA7419" w:rsidRDefault="00AA7419" w:rsidP="00050CA0">
      <w:pPr>
        <w:pStyle w:val="ColorfulList-Accent11"/>
        <w:overflowPunct/>
        <w:autoSpaceDE/>
        <w:autoSpaceDN/>
        <w:adjustRightInd/>
        <w:spacing w:before="120"/>
        <w:ind w:left="0"/>
        <w:textAlignment w:val="auto"/>
        <w:rPr>
          <w:rFonts w:eastAsia="SimSun" w:cs="Arial"/>
          <w:sz w:val="20"/>
        </w:rPr>
      </w:pPr>
      <w:r w:rsidRPr="002128C2">
        <w:rPr>
          <w:rFonts w:eastAsia="SimSun" w:cs="Arial"/>
          <w:sz w:val="20"/>
        </w:rPr>
        <w:t xml:space="preserve">Definitions of commonly used terms in this policy and relevant program documents are in </w:t>
      </w:r>
      <w:r w:rsidRPr="002128C2">
        <w:rPr>
          <w:rFonts w:eastAsia="SimSun" w:cs="Arial"/>
          <w:b/>
          <w:sz w:val="20"/>
        </w:rPr>
        <w:t xml:space="preserve">Appendix </w:t>
      </w:r>
      <w:r>
        <w:rPr>
          <w:rFonts w:eastAsia="SimSun" w:cs="Arial"/>
          <w:b/>
          <w:sz w:val="20"/>
        </w:rPr>
        <w:t>7</w:t>
      </w:r>
      <w:r w:rsidRPr="002128C2">
        <w:rPr>
          <w:rFonts w:eastAsia="SimSun" w:cs="Arial"/>
          <w:sz w:val="20"/>
        </w:rPr>
        <w:t xml:space="preserve">. </w:t>
      </w:r>
    </w:p>
    <w:p w14:paraId="3C341EE9" w14:textId="77777777" w:rsidR="00AA7419" w:rsidRPr="002128C2" w:rsidRDefault="00AA7419" w:rsidP="00050CA0">
      <w:pPr>
        <w:pStyle w:val="ColorfulList-Accent11"/>
        <w:overflowPunct/>
        <w:autoSpaceDE/>
        <w:autoSpaceDN/>
        <w:adjustRightInd/>
        <w:spacing w:before="120"/>
        <w:ind w:left="0"/>
        <w:textAlignment w:val="auto"/>
        <w:rPr>
          <w:rFonts w:cs="Arial"/>
          <w:i/>
          <w:sz w:val="20"/>
        </w:rPr>
      </w:pPr>
      <w:r w:rsidRPr="002128C2">
        <w:rPr>
          <w:rFonts w:eastAsia="SimSun" w:cs="Arial"/>
          <w:sz w:val="20"/>
        </w:rPr>
        <w:t xml:space="preserve">This policy </w:t>
      </w:r>
      <w:r>
        <w:rPr>
          <w:rFonts w:eastAsia="SimSun" w:cs="Arial"/>
          <w:sz w:val="20"/>
        </w:rPr>
        <w:t>must</w:t>
      </w:r>
      <w:r w:rsidRPr="002128C2">
        <w:rPr>
          <w:rFonts w:eastAsia="SimSun" w:cs="Arial"/>
          <w:sz w:val="20"/>
        </w:rPr>
        <w:t xml:space="preserve"> be read in </w:t>
      </w:r>
      <w:r w:rsidRPr="008A3B56">
        <w:rPr>
          <w:rFonts w:eastAsia="SimSun" w:cs="Arial"/>
          <w:sz w:val="20"/>
        </w:rPr>
        <w:t xml:space="preserve">conjunction with the </w:t>
      </w:r>
      <w:r w:rsidRPr="008A3B56">
        <w:rPr>
          <w:rFonts w:eastAsia="SimSun"/>
          <w:sz w:val="20"/>
        </w:rPr>
        <w:t xml:space="preserve">Vocational Education and Training </w:t>
      </w:r>
      <w:r w:rsidRPr="008A3B56">
        <w:rPr>
          <w:sz w:val="20"/>
        </w:rPr>
        <w:t>Pre-qualified Supplier Agreement</w:t>
      </w:r>
      <w:r w:rsidRPr="008A3B56">
        <w:rPr>
          <w:rFonts w:cs="Arial"/>
          <w:i/>
          <w:sz w:val="20"/>
        </w:rPr>
        <w:t xml:space="preserve"> </w:t>
      </w:r>
      <w:r w:rsidRPr="008A3B56">
        <w:rPr>
          <w:rFonts w:cs="Arial"/>
          <w:sz w:val="20"/>
        </w:rPr>
        <w:t>(PQS Agreement) and related program policy documents above</w:t>
      </w:r>
      <w:r w:rsidRPr="008A3B56">
        <w:rPr>
          <w:rFonts w:cs="Arial"/>
          <w:i/>
          <w:sz w:val="20"/>
        </w:rPr>
        <w:t>.</w:t>
      </w:r>
    </w:p>
    <w:p w14:paraId="61E5DABA" w14:textId="77777777" w:rsidR="00AA7419" w:rsidRPr="00650238" w:rsidRDefault="00AA7419" w:rsidP="00AA7419">
      <w:pPr>
        <w:pStyle w:val="Header1policy"/>
        <w:outlineLvl w:val="0"/>
      </w:pPr>
      <w:r w:rsidRPr="00650238">
        <w:lastRenderedPageBreak/>
        <w:t>Performance standards and expectations</w:t>
      </w:r>
    </w:p>
    <w:p w14:paraId="39AB2E1C" w14:textId="77777777" w:rsidR="00AA7419" w:rsidRDefault="00AA7419" w:rsidP="00050CA0">
      <w:pPr>
        <w:pStyle w:val="ColorfulList-Accent11"/>
        <w:overflowPunct/>
        <w:autoSpaceDE/>
        <w:autoSpaceDN/>
        <w:adjustRightInd/>
        <w:spacing w:before="120"/>
        <w:ind w:left="0"/>
        <w:textAlignment w:val="auto"/>
        <w:rPr>
          <w:rFonts w:eastAsia="SimSun" w:cs="Arial"/>
          <w:sz w:val="20"/>
        </w:rPr>
      </w:pPr>
      <w:r w:rsidRPr="00E923D4">
        <w:rPr>
          <w:rFonts w:eastAsia="SimSun" w:cs="Arial"/>
          <w:sz w:val="20"/>
        </w:rPr>
        <w:t>RTOs must meet and adhere to the following performance standards to maintain PQS status for programs administered by the department in Queensland.</w:t>
      </w:r>
      <w:r>
        <w:rPr>
          <w:rFonts w:eastAsia="SimSun" w:cs="Arial"/>
          <w:sz w:val="20"/>
        </w:rPr>
        <w:t xml:space="preserve"> </w:t>
      </w:r>
      <w:r w:rsidRPr="00C31B10">
        <w:rPr>
          <w:rFonts w:eastAsia="SimSun" w:cs="Arial"/>
          <w:b/>
          <w:sz w:val="20"/>
        </w:rPr>
        <w:t>Note:</w:t>
      </w:r>
      <w:r w:rsidRPr="00E923D4">
        <w:rPr>
          <w:rFonts w:eastAsia="SimSun" w:cs="Arial"/>
          <w:sz w:val="20"/>
        </w:rPr>
        <w:t xml:space="preserve"> </w:t>
      </w:r>
      <w:r>
        <w:rPr>
          <w:rFonts w:eastAsia="SimSun" w:cs="Arial" w:hint="eastAsia"/>
          <w:sz w:val="20"/>
          <w:lang w:eastAsia="zh-CN"/>
        </w:rPr>
        <w:t>W</w:t>
      </w:r>
      <w:r w:rsidRPr="00E923D4">
        <w:rPr>
          <w:rFonts w:eastAsia="SimSun" w:cs="Arial"/>
          <w:sz w:val="20"/>
        </w:rPr>
        <w:t xml:space="preserve">hen referring to the PQS website and </w:t>
      </w:r>
      <w:r>
        <w:rPr>
          <w:rFonts w:eastAsia="SimSun" w:cs="Arial"/>
          <w:sz w:val="20"/>
        </w:rPr>
        <w:t>publishing</w:t>
      </w:r>
      <w:r w:rsidRPr="00E923D4">
        <w:rPr>
          <w:rFonts w:eastAsia="SimSun" w:cs="Arial"/>
          <w:sz w:val="20"/>
        </w:rPr>
        <w:t xml:space="preserve"> or communicating information to consumers, this policy refer</w:t>
      </w:r>
      <w:r>
        <w:rPr>
          <w:rFonts w:eastAsia="SimSun" w:cs="Arial"/>
          <w:sz w:val="20"/>
        </w:rPr>
        <w:t>s</w:t>
      </w:r>
      <w:r w:rsidRPr="00E923D4">
        <w:rPr>
          <w:rFonts w:eastAsia="SimSun" w:cs="Arial"/>
          <w:sz w:val="20"/>
        </w:rPr>
        <w:t xml:space="preserve"> to the RTO arm or division of the PQS organisation.</w:t>
      </w:r>
      <w:r>
        <w:rPr>
          <w:rFonts w:eastAsia="SimSun" w:cs="Arial"/>
          <w:sz w:val="20"/>
        </w:rPr>
        <w:t xml:space="preserve">   </w:t>
      </w:r>
    </w:p>
    <w:p w14:paraId="72BFBA9F" w14:textId="77777777" w:rsidR="00AA7419" w:rsidRDefault="00AA7419" w:rsidP="00050CA0">
      <w:pPr>
        <w:pStyle w:val="ColorfulList-Accent11"/>
        <w:overflowPunct/>
        <w:autoSpaceDE/>
        <w:autoSpaceDN/>
        <w:adjustRightInd/>
        <w:spacing w:before="120"/>
        <w:ind w:left="0"/>
        <w:textAlignment w:val="auto"/>
        <w:outlineLvl w:val="1"/>
        <w:rPr>
          <w:rFonts w:eastAsia="SimSun" w:cs="Arial"/>
          <w:b/>
          <w:szCs w:val="22"/>
        </w:rPr>
      </w:pPr>
      <w:r w:rsidRPr="00491223">
        <w:rPr>
          <w:rFonts w:eastAsia="SimSun" w:cs="Arial"/>
          <w:b/>
          <w:szCs w:val="22"/>
        </w:rPr>
        <w:t>Performance standard 1 — Disclose information upfront to enable informed consumer choice</w:t>
      </w:r>
    </w:p>
    <w:p w14:paraId="573023F6" w14:textId="77777777" w:rsidR="00AA7419" w:rsidRPr="008A37F7" w:rsidRDefault="00AA7419" w:rsidP="00050CA0">
      <w:pPr>
        <w:pStyle w:val="ColorfulList-Accent11"/>
        <w:numPr>
          <w:ilvl w:val="0"/>
          <w:numId w:val="38"/>
        </w:numPr>
        <w:spacing w:before="120"/>
        <w:ind w:left="357" w:hanging="357"/>
        <w:rPr>
          <w:rFonts w:cs="Arial"/>
          <w:sz w:val="20"/>
        </w:rPr>
      </w:pPr>
      <w:r w:rsidRPr="008A37F7">
        <w:rPr>
          <w:rFonts w:cs="Arial"/>
          <w:sz w:val="20"/>
        </w:rPr>
        <w:t xml:space="preserve">Publish in a prominent and easy-to-access location on its website the total co-contribution fees — concessional and non-concessional — to be charged to an enrolled student for each qualification or skill set it is approved to deliver under a program (see </w:t>
      </w:r>
      <w:r w:rsidRPr="008A37F7">
        <w:rPr>
          <w:rFonts w:cs="Arial"/>
          <w:b/>
          <w:sz w:val="20"/>
        </w:rPr>
        <w:t>Appendix 1</w:t>
      </w:r>
      <w:r w:rsidRPr="008A37F7">
        <w:rPr>
          <w:rFonts w:cs="Arial"/>
          <w:sz w:val="20"/>
        </w:rPr>
        <w:t>).</w:t>
      </w:r>
    </w:p>
    <w:p w14:paraId="7CBF2D15" w14:textId="77777777" w:rsidR="00AA7419" w:rsidRPr="008A37F7" w:rsidRDefault="00AA7419" w:rsidP="00050CA0">
      <w:pPr>
        <w:pStyle w:val="ColorfulList-Accent11"/>
        <w:numPr>
          <w:ilvl w:val="0"/>
          <w:numId w:val="38"/>
        </w:numPr>
        <w:spacing w:before="120"/>
        <w:ind w:left="357" w:hanging="357"/>
        <w:rPr>
          <w:rFonts w:cs="Arial"/>
          <w:sz w:val="20"/>
        </w:rPr>
      </w:pPr>
      <w:r w:rsidRPr="008A37F7">
        <w:rPr>
          <w:rFonts w:cs="Arial"/>
          <w:sz w:val="20"/>
        </w:rPr>
        <w:t>Provide a prospective student with notice of the co-contribution fee relevant to the student’s circumstances prior to enrolment in the qualification or approved skill set.</w:t>
      </w:r>
    </w:p>
    <w:p w14:paraId="7C68DF51" w14:textId="77777777" w:rsidR="00AA7419" w:rsidRPr="008A37F7" w:rsidRDefault="00AA7419" w:rsidP="00050CA0">
      <w:pPr>
        <w:pStyle w:val="ColorfulList-Accent11"/>
        <w:numPr>
          <w:ilvl w:val="0"/>
          <w:numId w:val="38"/>
        </w:numPr>
        <w:spacing w:before="120"/>
        <w:ind w:left="357" w:hanging="357"/>
        <w:rPr>
          <w:rFonts w:cs="Arial"/>
          <w:sz w:val="20"/>
        </w:rPr>
      </w:pPr>
      <w:r w:rsidRPr="008A37F7">
        <w:rPr>
          <w:rFonts w:cs="Arial"/>
          <w:sz w:val="20"/>
        </w:rPr>
        <w:t xml:space="preserve">Provide the prospective student with a copy of, or access to, its refund policy prior to enrolment. The refund policy must meet the requirements under the </w:t>
      </w:r>
      <w:r w:rsidRPr="008A37F7">
        <w:rPr>
          <w:rFonts w:cs="Arial"/>
          <w:i/>
          <w:sz w:val="20"/>
        </w:rPr>
        <w:t>Standards for Registered Training Organisations (RTOs) 2015.</w:t>
      </w:r>
    </w:p>
    <w:p w14:paraId="28143B73" w14:textId="77777777" w:rsidR="00AA7419" w:rsidRPr="00E923D4" w:rsidRDefault="00AA7419" w:rsidP="00050CA0">
      <w:pPr>
        <w:pStyle w:val="ColorfulList-Accent11"/>
        <w:numPr>
          <w:ilvl w:val="0"/>
          <w:numId w:val="38"/>
        </w:numPr>
        <w:spacing w:before="120"/>
        <w:ind w:left="357" w:hanging="357"/>
        <w:rPr>
          <w:rFonts w:cs="Arial"/>
          <w:sz w:val="20"/>
        </w:rPr>
      </w:pPr>
      <w:r w:rsidRPr="00E923D4">
        <w:rPr>
          <w:rFonts w:cs="Arial"/>
          <w:sz w:val="20"/>
        </w:rPr>
        <w:t>Notify the prospective student of the expectations and rules regarding accessing a government</w:t>
      </w:r>
      <w:r>
        <w:rPr>
          <w:rFonts w:cs="Arial"/>
          <w:sz w:val="20"/>
        </w:rPr>
        <w:t xml:space="preserve"> </w:t>
      </w:r>
      <w:r w:rsidRPr="00E923D4">
        <w:rPr>
          <w:rFonts w:cs="Arial"/>
          <w:sz w:val="20"/>
        </w:rPr>
        <w:t>subsidised training place under the relevant program</w:t>
      </w:r>
      <w:r>
        <w:rPr>
          <w:rFonts w:cs="Arial"/>
          <w:sz w:val="20"/>
        </w:rPr>
        <w:t>. This notification must include advice</w:t>
      </w:r>
      <w:r w:rsidRPr="00E923D4">
        <w:rPr>
          <w:rFonts w:cs="Arial"/>
          <w:sz w:val="20"/>
        </w:rPr>
        <w:t xml:space="preserve"> that the student will</w:t>
      </w:r>
      <w:r w:rsidRPr="00E923D4">
        <w:rPr>
          <w:rFonts w:cs="Arial"/>
          <w:sz w:val="20"/>
          <w:lang w:eastAsia="en-AU"/>
        </w:rPr>
        <w:t xml:space="preserve"> </w:t>
      </w:r>
      <w:r w:rsidRPr="00E923D4">
        <w:rPr>
          <w:rFonts w:cs="Arial"/>
          <w:sz w:val="20"/>
        </w:rPr>
        <w:t>no longer be eligible for a government</w:t>
      </w:r>
      <w:r>
        <w:rPr>
          <w:rFonts w:cs="Arial"/>
          <w:sz w:val="20"/>
        </w:rPr>
        <w:t xml:space="preserve"> </w:t>
      </w:r>
      <w:r w:rsidRPr="00E923D4">
        <w:rPr>
          <w:rFonts w:cs="Arial"/>
          <w:sz w:val="20"/>
        </w:rPr>
        <w:t>subsidised training place under a program once they complete the qualification level targeted through the program.</w:t>
      </w:r>
      <w:r>
        <w:rPr>
          <w:rFonts w:cs="Arial"/>
          <w:sz w:val="20"/>
        </w:rPr>
        <w:t xml:space="preserve"> PQS must be able to show evidence of the student’s acknowledgement of program rules — see the </w:t>
      </w:r>
      <w:r w:rsidRPr="008B0DDC">
        <w:rPr>
          <w:rFonts w:cs="Arial"/>
          <w:bCs/>
          <w:i/>
          <w:sz w:val="20"/>
        </w:rPr>
        <w:t>Pre-qualified Supplier Audit Evidence Requirements (VET Investment Programs)</w:t>
      </w:r>
      <w:r>
        <w:rPr>
          <w:rFonts w:cs="Arial"/>
          <w:sz w:val="20"/>
        </w:rPr>
        <w:t>.</w:t>
      </w:r>
    </w:p>
    <w:p w14:paraId="56A4A9F6" w14:textId="77777777" w:rsidR="00AA7419" w:rsidRDefault="00AA7419" w:rsidP="00050CA0">
      <w:pPr>
        <w:pStyle w:val="ColorfulList-Accent11"/>
        <w:numPr>
          <w:ilvl w:val="0"/>
          <w:numId w:val="38"/>
        </w:numPr>
        <w:spacing w:before="120"/>
        <w:ind w:left="357" w:hanging="357"/>
        <w:rPr>
          <w:rFonts w:cs="Arial"/>
          <w:sz w:val="20"/>
        </w:rPr>
      </w:pPr>
      <w:r w:rsidRPr="008B7D4F">
        <w:rPr>
          <w:rFonts w:cs="Arial"/>
          <w:sz w:val="20"/>
        </w:rPr>
        <w:t>Refer the prospective student to any applicable student fact sheet for the relevant program published on the department’s website</w:t>
      </w:r>
      <w:r>
        <w:rPr>
          <w:rFonts w:cs="Arial"/>
          <w:sz w:val="20"/>
        </w:rPr>
        <w:t>, so they have access to independent information and a point of contact with the department</w:t>
      </w:r>
      <w:r w:rsidRPr="008B7D4F">
        <w:rPr>
          <w:rFonts w:cs="Arial"/>
          <w:sz w:val="20"/>
        </w:rPr>
        <w:t>.</w:t>
      </w:r>
    </w:p>
    <w:p w14:paraId="0C5ECECD" w14:textId="77777777" w:rsidR="00AA7419" w:rsidRPr="008B7D4F" w:rsidRDefault="00AA7419" w:rsidP="00050CA0">
      <w:pPr>
        <w:pStyle w:val="ColorfulList-Accent11"/>
        <w:numPr>
          <w:ilvl w:val="0"/>
          <w:numId w:val="38"/>
        </w:numPr>
        <w:spacing w:before="120"/>
        <w:ind w:left="357" w:hanging="357"/>
        <w:rPr>
          <w:rFonts w:cs="Arial"/>
          <w:sz w:val="20"/>
        </w:rPr>
      </w:pPr>
      <w:r>
        <w:rPr>
          <w:rFonts w:cs="Arial"/>
          <w:sz w:val="20"/>
        </w:rPr>
        <w:t>Where some or all of the training and/or assessment services are to be subcontracted to a third party (regardless of whether that third party is related to the PQS), notify the prospective student of the full name of the third party and the training and/or assessment services to be provided by the third party.</w:t>
      </w:r>
      <w:r>
        <w:rPr>
          <w:rFonts w:cs="Arial"/>
          <w:i/>
          <w:sz w:val="20"/>
        </w:rPr>
        <w:t xml:space="preserve"> (See also Pre-qualified Supplier Subcontracting Arrangements) </w:t>
      </w:r>
    </w:p>
    <w:p w14:paraId="51AF80D6" w14:textId="77777777" w:rsidR="00AA7419" w:rsidRPr="00491223" w:rsidRDefault="00AA7419" w:rsidP="00050CA0">
      <w:pPr>
        <w:pStyle w:val="ColorfulList-Accent11"/>
        <w:overflowPunct/>
        <w:autoSpaceDE/>
        <w:autoSpaceDN/>
        <w:adjustRightInd/>
        <w:spacing w:before="120"/>
        <w:ind w:left="0"/>
        <w:textAlignment w:val="auto"/>
        <w:outlineLvl w:val="1"/>
        <w:rPr>
          <w:rFonts w:eastAsia="SimSun" w:cs="Arial"/>
          <w:b/>
          <w:szCs w:val="22"/>
        </w:rPr>
      </w:pPr>
      <w:r w:rsidRPr="00491223">
        <w:rPr>
          <w:rFonts w:eastAsia="SimSun" w:cs="Arial"/>
          <w:b/>
          <w:szCs w:val="22"/>
        </w:rPr>
        <w:t xml:space="preserve">Performance standard </w:t>
      </w:r>
      <w:r>
        <w:rPr>
          <w:rFonts w:eastAsia="SimSun" w:cs="Arial"/>
          <w:b/>
          <w:szCs w:val="22"/>
        </w:rPr>
        <w:t>2</w:t>
      </w:r>
      <w:r w:rsidRPr="00491223">
        <w:rPr>
          <w:rFonts w:eastAsia="SimSun" w:cs="Arial"/>
          <w:b/>
          <w:szCs w:val="22"/>
        </w:rPr>
        <w:t xml:space="preserve"> — </w:t>
      </w:r>
      <w:r>
        <w:rPr>
          <w:rFonts w:eastAsia="SimSun" w:cs="Arial"/>
          <w:b/>
          <w:szCs w:val="22"/>
        </w:rPr>
        <w:t>Demonstrate professional and ethical standards of behaviour</w:t>
      </w:r>
    </w:p>
    <w:p w14:paraId="5CBE40FA" w14:textId="77777777" w:rsidR="00AA7419" w:rsidRPr="00E923D4" w:rsidRDefault="00AA7419" w:rsidP="00050CA0">
      <w:pPr>
        <w:pStyle w:val="ColorfulList-Accent11"/>
        <w:numPr>
          <w:ilvl w:val="0"/>
          <w:numId w:val="39"/>
        </w:numPr>
        <w:spacing w:before="120"/>
        <w:ind w:left="357" w:hanging="357"/>
        <w:rPr>
          <w:rFonts w:cs="Arial"/>
          <w:sz w:val="20"/>
        </w:rPr>
      </w:pPr>
      <w:r w:rsidRPr="00E923D4">
        <w:rPr>
          <w:rFonts w:cs="Arial"/>
          <w:sz w:val="20"/>
        </w:rPr>
        <w:t>Act honestly and fairly when conducting RTO business, and not behave in a manner (as determined by the department) which may, or has the potential to, discredit or negatively impact on the Queensland Government or its programs.</w:t>
      </w:r>
      <w:r>
        <w:rPr>
          <w:rFonts w:cs="Arial"/>
          <w:sz w:val="20"/>
        </w:rPr>
        <w:t xml:space="preserve"> PQS should note the requirement in </w:t>
      </w:r>
      <w:r w:rsidRPr="005D4932">
        <w:rPr>
          <w:rFonts w:cs="Arial"/>
          <w:sz w:val="20"/>
        </w:rPr>
        <w:t>clause 26 of the PQS Agreement for PQS to act in good faith in all matters, and in performing obligations under the PQS Agreement and seeking to become entitled to public funding under the PQS Agreement</w:t>
      </w:r>
      <w:r>
        <w:rPr>
          <w:rFonts w:cs="Arial"/>
          <w:sz w:val="20"/>
        </w:rPr>
        <w:t>,</w:t>
      </w:r>
      <w:r w:rsidRPr="005D4932">
        <w:rPr>
          <w:rFonts w:cs="Arial"/>
          <w:sz w:val="20"/>
        </w:rPr>
        <w:t xml:space="preserve"> to act consistently with the spirit of th</w:t>
      </w:r>
      <w:r>
        <w:rPr>
          <w:rFonts w:cs="Arial"/>
          <w:sz w:val="20"/>
        </w:rPr>
        <w:t>e</w:t>
      </w:r>
      <w:r w:rsidRPr="005D4932">
        <w:rPr>
          <w:rFonts w:cs="Arial"/>
          <w:sz w:val="20"/>
        </w:rPr>
        <w:t xml:space="preserve"> Agreement and the </w:t>
      </w:r>
      <w:r>
        <w:rPr>
          <w:rFonts w:cs="Arial"/>
          <w:sz w:val="20"/>
        </w:rPr>
        <w:t>f</w:t>
      </w:r>
      <w:r w:rsidRPr="005D4932">
        <w:rPr>
          <w:rFonts w:cs="Arial"/>
          <w:sz w:val="20"/>
        </w:rPr>
        <w:t xml:space="preserve">unding </w:t>
      </w:r>
      <w:r>
        <w:rPr>
          <w:rFonts w:cs="Arial"/>
          <w:sz w:val="20"/>
        </w:rPr>
        <w:t>p</w:t>
      </w:r>
      <w:r w:rsidRPr="005D4932">
        <w:rPr>
          <w:rFonts w:cs="Arial"/>
          <w:sz w:val="20"/>
        </w:rPr>
        <w:t xml:space="preserve">rogram and to act in the way that best achieves the objectives of the </w:t>
      </w:r>
      <w:r>
        <w:rPr>
          <w:rFonts w:cs="Arial"/>
          <w:sz w:val="20"/>
        </w:rPr>
        <w:t>f</w:t>
      </w:r>
      <w:r w:rsidRPr="005D4932">
        <w:rPr>
          <w:rFonts w:cs="Arial"/>
          <w:sz w:val="20"/>
        </w:rPr>
        <w:t xml:space="preserve">unding </w:t>
      </w:r>
      <w:r>
        <w:rPr>
          <w:rFonts w:cs="Arial"/>
          <w:sz w:val="20"/>
        </w:rPr>
        <w:t>p</w:t>
      </w:r>
      <w:r w:rsidRPr="005D4932">
        <w:rPr>
          <w:rFonts w:cs="Arial"/>
          <w:sz w:val="20"/>
        </w:rPr>
        <w:t>rogram</w:t>
      </w:r>
      <w:r>
        <w:rPr>
          <w:rFonts w:cs="Arial"/>
          <w:sz w:val="20"/>
        </w:rPr>
        <w:t>.</w:t>
      </w:r>
    </w:p>
    <w:p w14:paraId="7C4385AC" w14:textId="77777777" w:rsidR="00AA7419" w:rsidRPr="00E923D4" w:rsidRDefault="00AA7419" w:rsidP="00050CA0">
      <w:pPr>
        <w:pStyle w:val="ColorfulList-Accent11"/>
        <w:numPr>
          <w:ilvl w:val="0"/>
          <w:numId w:val="39"/>
        </w:numPr>
        <w:spacing w:before="120"/>
        <w:ind w:left="357" w:hanging="357"/>
        <w:rPr>
          <w:rFonts w:cs="Arial"/>
          <w:sz w:val="20"/>
        </w:rPr>
      </w:pPr>
      <w:r w:rsidRPr="00E923D4">
        <w:rPr>
          <w:rFonts w:cs="Arial"/>
          <w:sz w:val="20"/>
        </w:rPr>
        <w:t>Only represent itself to the marketplace as a PQS for a program</w:t>
      </w:r>
      <w:r>
        <w:rPr>
          <w:rFonts w:cs="Arial"/>
          <w:sz w:val="20"/>
        </w:rPr>
        <w:t xml:space="preserve">, or as a PQS for a specific qualification or skill set under a program, </w:t>
      </w:r>
      <w:r w:rsidRPr="00E923D4">
        <w:rPr>
          <w:rFonts w:cs="Arial"/>
          <w:sz w:val="20"/>
        </w:rPr>
        <w:t>on or after the start date</w:t>
      </w:r>
      <w:r>
        <w:rPr>
          <w:rFonts w:cs="Arial"/>
          <w:sz w:val="20"/>
        </w:rPr>
        <w:t xml:space="preserve"> approved in writing by the department to deliver the qualification or skill set.</w:t>
      </w:r>
    </w:p>
    <w:p w14:paraId="60035F07" w14:textId="77777777" w:rsidR="00AA7419" w:rsidRDefault="00AA7419" w:rsidP="00050CA0">
      <w:pPr>
        <w:pStyle w:val="ColorfulList-Accent11"/>
        <w:spacing w:before="120"/>
        <w:ind w:left="357"/>
        <w:rPr>
          <w:rFonts w:cs="Arial"/>
          <w:sz w:val="20"/>
        </w:rPr>
      </w:pPr>
      <w:r w:rsidRPr="00D375FC">
        <w:rPr>
          <w:rFonts w:cs="Arial"/>
          <w:b/>
          <w:sz w:val="20"/>
        </w:rPr>
        <w:t>Note:</w:t>
      </w:r>
      <w:r w:rsidRPr="00D85928">
        <w:rPr>
          <w:rFonts w:cs="Arial"/>
          <w:sz w:val="20"/>
        </w:rPr>
        <w:t xml:space="preserve"> </w:t>
      </w:r>
      <w:r>
        <w:rPr>
          <w:rFonts w:eastAsiaTheme="minorEastAsia" w:cs="Arial" w:hint="eastAsia"/>
          <w:sz w:val="20"/>
          <w:lang w:eastAsia="zh-CN"/>
        </w:rPr>
        <w:t>S</w:t>
      </w:r>
      <w:r w:rsidRPr="00D85928">
        <w:rPr>
          <w:rFonts w:cs="Arial"/>
          <w:sz w:val="20"/>
        </w:rPr>
        <w:t xml:space="preserve">hould the department determine that a PQS failed to declare information or made false claims as part of its initial application </w:t>
      </w:r>
      <w:r>
        <w:rPr>
          <w:rFonts w:cs="Arial"/>
          <w:sz w:val="20"/>
        </w:rPr>
        <w:t xml:space="preserve">for PQS status </w:t>
      </w:r>
      <w:r w:rsidRPr="00D85928">
        <w:rPr>
          <w:rFonts w:cs="Arial"/>
          <w:sz w:val="20"/>
        </w:rPr>
        <w:t xml:space="preserve">(including unauthorised persons executing the PQS Agreement), then the department may seek to </w:t>
      </w:r>
      <w:r>
        <w:rPr>
          <w:rFonts w:cs="Arial"/>
          <w:sz w:val="20"/>
        </w:rPr>
        <w:t>terminate</w:t>
      </w:r>
      <w:r w:rsidRPr="00D85928">
        <w:rPr>
          <w:rFonts w:cs="Arial"/>
          <w:sz w:val="20"/>
        </w:rPr>
        <w:t xml:space="preserve"> the PQS Agreement.</w:t>
      </w:r>
      <w:r>
        <w:rPr>
          <w:rFonts w:cs="Arial"/>
          <w:sz w:val="20"/>
        </w:rPr>
        <w:t xml:space="preserve"> This is not intended to limit the department's right to terminate a PQS Agreement for another reason.</w:t>
      </w:r>
    </w:p>
    <w:p w14:paraId="44281754" w14:textId="77777777" w:rsidR="00AA7419" w:rsidRPr="00E923D4" w:rsidRDefault="00AA7419" w:rsidP="00050CA0">
      <w:pPr>
        <w:pStyle w:val="ColorfulList-Accent11"/>
        <w:numPr>
          <w:ilvl w:val="0"/>
          <w:numId w:val="39"/>
        </w:numPr>
        <w:spacing w:before="120"/>
        <w:ind w:left="357" w:hanging="357"/>
        <w:rPr>
          <w:rFonts w:cs="Arial"/>
          <w:sz w:val="20"/>
        </w:rPr>
      </w:pPr>
      <w:r w:rsidRPr="00E923D4">
        <w:rPr>
          <w:rFonts w:cs="Arial"/>
          <w:sz w:val="20"/>
        </w:rPr>
        <w:t xml:space="preserve">Hold PQS approval with the department for the </w:t>
      </w:r>
      <w:r>
        <w:rPr>
          <w:rFonts w:cs="Arial"/>
          <w:sz w:val="20"/>
        </w:rPr>
        <w:t xml:space="preserve">qualification or skill set under the </w:t>
      </w:r>
      <w:r w:rsidRPr="00E923D4">
        <w:rPr>
          <w:rFonts w:cs="Arial"/>
          <w:sz w:val="20"/>
        </w:rPr>
        <w:t>specific program at the time the training and assessment services are delivered</w:t>
      </w:r>
      <w:r>
        <w:rPr>
          <w:rFonts w:cs="Arial"/>
          <w:sz w:val="20"/>
        </w:rPr>
        <w:t>,</w:t>
      </w:r>
      <w:r w:rsidRPr="00E923D4">
        <w:rPr>
          <w:rFonts w:cs="Arial"/>
          <w:sz w:val="20"/>
        </w:rPr>
        <w:t xml:space="preserve"> and at the time funding is claimed in relation to that delivery.</w:t>
      </w:r>
    </w:p>
    <w:p w14:paraId="7F6773FC" w14:textId="77777777" w:rsidR="00AA7419" w:rsidRPr="007159D4" w:rsidRDefault="00AA7419" w:rsidP="00050CA0">
      <w:pPr>
        <w:pStyle w:val="ColorfulList-Accent11"/>
        <w:numPr>
          <w:ilvl w:val="0"/>
          <w:numId w:val="39"/>
        </w:numPr>
        <w:spacing w:before="120"/>
        <w:ind w:left="357" w:hanging="357"/>
        <w:rPr>
          <w:rFonts w:cs="Arial"/>
          <w:sz w:val="20"/>
        </w:rPr>
      </w:pPr>
      <w:r w:rsidRPr="007159D4">
        <w:rPr>
          <w:rFonts w:cs="Arial"/>
          <w:sz w:val="20"/>
        </w:rPr>
        <w:t>Comply with all department policies and directives in relation to the proper marketing of a program. This includes not advertising, marketing or promoting to consumers any gifts or inducements an enrolled student would be eligible to receive upon enrolment in training offered by the PQS under a program</w:t>
      </w:r>
      <w:r>
        <w:rPr>
          <w:rFonts w:cs="Arial"/>
          <w:sz w:val="20"/>
        </w:rPr>
        <w:t>.</w:t>
      </w:r>
      <w:r w:rsidRPr="007159D4">
        <w:rPr>
          <w:rFonts w:cs="Arial"/>
          <w:sz w:val="20"/>
        </w:rPr>
        <w:t xml:space="preserve"> </w:t>
      </w:r>
      <w:r>
        <w:rPr>
          <w:rFonts w:cs="Arial"/>
          <w:sz w:val="20"/>
        </w:rPr>
        <w:t>S</w:t>
      </w:r>
      <w:r w:rsidRPr="007159D4">
        <w:rPr>
          <w:rFonts w:cs="Arial"/>
          <w:sz w:val="20"/>
        </w:rPr>
        <w:t>ee PQS Agreement clause</w:t>
      </w:r>
      <w:r>
        <w:rPr>
          <w:rFonts w:cs="Arial"/>
          <w:sz w:val="20"/>
        </w:rPr>
        <w:t>s</w:t>
      </w:r>
      <w:r w:rsidRPr="007159D4">
        <w:rPr>
          <w:rFonts w:cs="Arial"/>
          <w:sz w:val="20"/>
        </w:rPr>
        <w:t xml:space="preserve"> 11</w:t>
      </w:r>
      <w:r>
        <w:rPr>
          <w:rFonts w:cs="Arial"/>
          <w:sz w:val="20"/>
        </w:rPr>
        <w:t xml:space="preserve"> and 12</w:t>
      </w:r>
      <w:r w:rsidRPr="007159D4">
        <w:rPr>
          <w:rFonts w:cs="Arial"/>
          <w:sz w:val="20"/>
        </w:rPr>
        <w:t>, the department’s PQS marketing and disclosure fact sheet</w:t>
      </w:r>
      <w:r>
        <w:rPr>
          <w:rFonts w:cs="Arial"/>
          <w:sz w:val="20"/>
        </w:rPr>
        <w:t>,</w:t>
      </w:r>
      <w:r w:rsidRPr="007159D4">
        <w:rPr>
          <w:rFonts w:cs="Arial"/>
          <w:sz w:val="20"/>
        </w:rPr>
        <w:t xml:space="preserve"> and any other relevant publications or instructions the department may publish.</w:t>
      </w:r>
    </w:p>
    <w:p w14:paraId="3BD7AC0C" w14:textId="77777777" w:rsidR="00AA7419" w:rsidRPr="00417922" w:rsidRDefault="00AA7419" w:rsidP="00AA7419">
      <w:pPr>
        <w:pStyle w:val="ColorfulList-Accent11"/>
        <w:numPr>
          <w:ilvl w:val="0"/>
          <w:numId w:val="39"/>
        </w:numPr>
        <w:ind w:left="360"/>
        <w:rPr>
          <w:rFonts w:cs="Arial"/>
          <w:sz w:val="20"/>
        </w:rPr>
      </w:pPr>
      <w:r w:rsidRPr="00417922">
        <w:rPr>
          <w:rFonts w:cs="Arial"/>
          <w:sz w:val="20"/>
        </w:rPr>
        <w:lastRenderedPageBreak/>
        <w:t>Ensure true and accurate VET activity data is submitted to the department in a timely manner and compliant with the current AVETMIS Standard</w:t>
      </w:r>
      <w:r>
        <w:rPr>
          <w:rFonts w:cs="Arial"/>
          <w:sz w:val="20"/>
        </w:rPr>
        <w:t>,</w:t>
      </w:r>
      <w:r w:rsidRPr="00417922">
        <w:rPr>
          <w:rFonts w:cs="Arial"/>
          <w:sz w:val="20"/>
        </w:rPr>
        <w:t xml:space="preserve"> as per the </w:t>
      </w:r>
      <w:r>
        <w:rPr>
          <w:rFonts w:cs="Arial"/>
          <w:sz w:val="20"/>
        </w:rPr>
        <w:t>National Centre for Vocational Education Research (</w:t>
      </w:r>
      <w:r w:rsidRPr="00417922">
        <w:rPr>
          <w:rFonts w:cs="Arial"/>
          <w:sz w:val="20"/>
        </w:rPr>
        <w:t>NCVER</w:t>
      </w:r>
      <w:r>
        <w:rPr>
          <w:rFonts w:cs="Arial"/>
          <w:sz w:val="20"/>
        </w:rPr>
        <w:t>)</w:t>
      </w:r>
      <w:r w:rsidRPr="00417922">
        <w:rPr>
          <w:rFonts w:cs="Arial"/>
          <w:sz w:val="20"/>
        </w:rPr>
        <w:t xml:space="preserve"> website at </w:t>
      </w:r>
      <w:hyperlink r:id="rId10" w:history="1">
        <w:r w:rsidRPr="00417922">
          <w:rPr>
            <w:rStyle w:val="Hyperlink"/>
            <w:rFonts w:cs="Arial"/>
            <w:sz w:val="20"/>
          </w:rPr>
          <w:t>www.ncver.edu.au</w:t>
        </w:r>
      </w:hyperlink>
      <w:r w:rsidRPr="00417922">
        <w:rPr>
          <w:rFonts w:cs="Arial"/>
          <w:sz w:val="20"/>
        </w:rPr>
        <w:t xml:space="preserve"> (</w:t>
      </w:r>
      <w:r>
        <w:rPr>
          <w:rFonts w:cs="Arial"/>
          <w:sz w:val="20"/>
        </w:rPr>
        <w:t xml:space="preserve">also </w:t>
      </w:r>
      <w:r w:rsidRPr="00417922">
        <w:rPr>
          <w:rFonts w:cs="Arial"/>
          <w:sz w:val="20"/>
        </w:rPr>
        <w:t xml:space="preserve">see </w:t>
      </w:r>
      <w:r w:rsidRPr="00417922">
        <w:rPr>
          <w:rFonts w:cs="Arial"/>
          <w:b/>
          <w:sz w:val="20"/>
        </w:rPr>
        <w:t xml:space="preserve">Appendix </w:t>
      </w:r>
      <w:r>
        <w:rPr>
          <w:rFonts w:cs="Arial"/>
          <w:b/>
          <w:sz w:val="20"/>
        </w:rPr>
        <w:t>3</w:t>
      </w:r>
      <w:r w:rsidRPr="00417922">
        <w:rPr>
          <w:rFonts w:cs="Arial"/>
          <w:sz w:val="20"/>
        </w:rPr>
        <w:t xml:space="preserve"> and </w:t>
      </w:r>
      <w:r>
        <w:rPr>
          <w:rFonts w:cs="Arial"/>
          <w:sz w:val="20"/>
        </w:rPr>
        <w:br/>
      </w:r>
      <w:r w:rsidRPr="00417922">
        <w:rPr>
          <w:rFonts w:cs="Arial"/>
          <w:b/>
          <w:sz w:val="20"/>
        </w:rPr>
        <w:t xml:space="preserve">Appendix </w:t>
      </w:r>
      <w:r>
        <w:rPr>
          <w:rFonts w:cs="Arial"/>
          <w:b/>
          <w:sz w:val="20"/>
        </w:rPr>
        <w:t>5</w:t>
      </w:r>
      <w:r w:rsidRPr="00417922">
        <w:rPr>
          <w:rFonts w:cs="Arial"/>
          <w:sz w:val="20"/>
        </w:rPr>
        <w:t>).</w:t>
      </w:r>
    </w:p>
    <w:p w14:paraId="2659F055" w14:textId="77777777" w:rsidR="00AA7419" w:rsidRPr="009F77AF" w:rsidRDefault="00AA7419" w:rsidP="00050CA0">
      <w:pPr>
        <w:pStyle w:val="ColorfulList-Accent11"/>
        <w:numPr>
          <w:ilvl w:val="0"/>
          <w:numId w:val="39"/>
        </w:numPr>
        <w:spacing w:before="120"/>
        <w:ind w:left="357" w:hanging="357"/>
        <w:rPr>
          <w:rFonts w:cs="Arial"/>
          <w:sz w:val="20"/>
        </w:rPr>
      </w:pPr>
      <w:r w:rsidRPr="009F77AF">
        <w:rPr>
          <w:rFonts w:cs="Arial"/>
          <w:sz w:val="20"/>
        </w:rPr>
        <w:t xml:space="preserve">Meet all other Australian Skills Quality Authority (ASQA) registration requirements and obligations, including the </w:t>
      </w:r>
      <w:r w:rsidRPr="009F77AF">
        <w:rPr>
          <w:rFonts w:cs="Arial"/>
          <w:i/>
          <w:sz w:val="20"/>
        </w:rPr>
        <w:t>Standards for Registered Training Organisations (RTOs) 2015</w:t>
      </w:r>
      <w:r>
        <w:rPr>
          <w:rFonts w:cs="Arial"/>
          <w:i/>
          <w:sz w:val="20"/>
        </w:rPr>
        <w:t xml:space="preserve"> </w:t>
      </w:r>
      <w:r w:rsidRPr="009F77AF">
        <w:rPr>
          <w:rFonts w:cs="Arial"/>
          <w:sz w:val="20"/>
        </w:rPr>
        <w:t>which forms part of the VET Quality Framework.</w:t>
      </w:r>
    </w:p>
    <w:p w14:paraId="4D526E65" w14:textId="77777777" w:rsidR="00AA7419" w:rsidRPr="00E923D4" w:rsidRDefault="00AA7419" w:rsidP="00050CA0">
      <w:pPr>
        <w:pStyle w:val="ColorfulList-Accent11"/>
        <w:numPr>
          <w:ilvl w:val="0"/>
          <w:numId w:val="39"/>
        </w:numPr>
        <w:spacing w:before="120"/>
        <w:ind w:left="357" w:hanging="357"/>
        <w:rPr>
          <w:rFonts w:cs="Arial"/>
          <w:sz w:val="20"/>
        </w:rPr>
      </w:pPr>
      <w:r w:rsidRPr="00E923D4">
        <w:rPr>
          <w:rFonts w:cs="Arial"/>
          <w:sz w:val="20"/>
        </w:rPr>
        <w:t>Ensure appropriate avenues exist for students (and/or employers where applicable) to make complaints and that business processes are in place to resolve any complaints in a timely and fair manner.</w:t>
      </w:r>
    </w:p>
    <w:p w14:paraId="3D0CCF50" w14:textId="77777777" w:rsidR="00AA7419" w:rsidRPr="00E923D4" w:rsidRDefault="00AA7419" w:rsidP="00050CA0">
      <w:pPr>
        <w:pStyle w:val="ColorfulList-Accent11"/>
        <w:numPr>
          <w:ilvl w:val="0"/>
          <w:numId w:val="39"/>
        </w:numPr>
        <w:spacing w:before="120"/>
        <w:ind w:left="357" w:hanging="357"/>
        <w:rPr>
          <w:rFonts w:cs="Arial"/>
          <w:sz w:val="20"/>
        </w:rPr>
      </w:pPr>
      <w:r w:rsidRPr="00E923D4">
        <w:rPr>
          <w:rFonts w:cs="Arial"/>
          <w:sz w:val="20"/>
        </w:rPr>
        <w:t xml:space="preserve">Consult and work with the department to transition any existing students should the </w:t>
      </w:r>
      <w:r>
        <w:rPr>
          <w:rFonts w:cs="Arial"/>
          <w:sz w:val="20"/>
        </w:rPr>
        <w:t xml:space="preserve">PQS Agreement be terminated or, should the </w:t>
      </w:r>
      <w:r w:rsidRPr="00E923D4">
        <w:rPr>
          <w:rFonts w:cs="Arial"/>
          <w:sz w:val="20"/>
        </w:rPr>
        <w:t xml:space="preserve">PQS make an application to </w:t>
      </w:r>
      <w:r>
        <w:rPr>
          <w:rFonts w:cs="Arial"/>
          <w:sz w:val="20"/>
        </w:rPr>
        <w:t xml:space="preserve">terminate </w:t>
      </w:r>
      <w:r w:rsidRPr="00E923D4">
        <w:rPr>
          <w:rFonts w:cs="Arial"/>
          <w:sz w:val="20"/>
        </w:rPr>
        <w:t>its PQS status, approval for a program or qualification</w:t>
      </w:r>
      <w:r>
        <w:rPr>
          <w:rFonts w:cs="Arial"/>
          <w:sz w:val="20"/>
        </w:rPr>
        <w:t xml:space="preserve"> </w:t>
      </w:r>
      <w:r w:rsidRPr="00E923D4">
        <w:rPr>
          <w:rFonts w:cs="Arial"/>
          <w:sz w:val="20"/>
        </w:rPr>
        <w:t>under a program</w:t>
      </w:r>
      <w:r>
        <w:rPr>
          <w:rFonts w:cs="Arial"/>
          <w:sz w:val="20"/>
        </w:rPr>
        <w:t>. A</w:t>
      </w:r>
      <w:r w:rsidRPr="00E923D4">
        <w:rPr>
          <w:rFonts w:cs="Arial"/>
          <w:sz w:val="20"/>
        </w:rPr>
        <w:t>ny such application will be subject to departmental approval in writing.</w:t>
      </w:r>
    </w:p>
    <w:p w14:paraId="78A3EB89" w14:textId="77777777" w:rsidR="00AA7419" w:rsidRPr="00491223" w:rsidRDefault="00AA7419" w:rsidP="00050CA0">
      <w:pPr>
        <w:pStyle w:val="ColorfulList-Accent11"/>
        <w:overflowPunct/>
        <w:autoSpaceDE/>
        <w:autoSpaceDN/>
        <w:adjustRightInd/>
        <w:spacing w:before="120"/>
        <w:ind w:left="0"/>
        <w:textAlignment w:val="auto"/>
        <w:outlineLvl w:val="1"/>
        <w:rPr>
          <w:rFonts w:eastAsia="SimSun" w:cs="Arial"/>
          <w:b/>
          <w:szCs w:val="22"/>
        </w:rPr>
      </w:pPr>
      <w:r w:rsidRPr="00491223">
        <w:rPr>
          <w:rFonts w:eastAsia="SimSun" w:cs="Arial"/>
          <w:b/>
          <w:szCs w:val="22"/>
        </w:rPr>
        <w:t xml:space="preserve">Performance standard </w:t>
      </w:r>
      <w:r>
        <w:rPr>
          <w:rFonts w:eastAsia="SimSun" w:cs="Arial"/>
          <w:b/>
          <w:szCs w:val="22"/>
        </w:rPr>
        <w:t>3</w:t>
      </w:r>
      <w:r w:rsidRPr="00491223">
        <w:rPr>
          <w:rFonts w:eastAsia="SimSun" w:cs="Arial"/>
          <w:b/>
          <w:szCs w:val="22"/>
        </w:rPr>
        <w:t xml:space="preserve"> — </w:t>
      </w:r>
      <w:r>
        <w:rPr>
          <w:rFonts w:eastAsia="SimSun" w:cs="Arial"/>
          <w:b/>
          <w:szCs w:val="22"/>
        </w:rPr>
        <w:t>Comply with all funding terms and conditions</w:t>
      </w:r>
    </w:p>
    <w:p w14:paraId="7F8ED360" w14:textId="77777777" w:rsidR="00AA7419" w:rsidRPr="00E923D4" w:rsidRDefault="00AA7419" w:rsidP="00050CA0">
      <w:pPr>
        <w:pStyle w:val="ColorfulList-Accent11"/>
        <w:numPr>
          <w:ilvl w:val="0"/>
          <w:numId w:val="40"/>
        </w:numPr>
        <w:spacing w:before="120"/>
        <w:ind w:left="357" w:hanging="357"/>
        <w:rPr>
          <w:rFonts w:cs="Arial"/>
          <w:sz w:val="20"/>
        </w:rPr>
      </w:pPr>
      <w:r w:rsidRPr="00E923D4">
        <w:rPr>
          <w:rFonts w:cs="Arial"/>
          <w:sz w:val="20"/>
        </w:rPr>
        <w:t xml:space="preserve">Possess </w:t>
      </w:r>
      <w:r>
        <w:rPr>
          <w:rFonts w:cs="Arial"/>
          <w:sz w:val="20"/>
        </w:rPr>
        <w:t>a sound</w:t>
      </w:r>
      <w:r w:rsidRPr="00E923D4">
        <w:rPr>
          <w:rFonts w:cs="Arial"/>
          <w:sz w:val="20"/>
        </w:rPr>
        <w:t xml:space="preserve"> knowledge of PQS obligations stipulated in this policy, the </w:t>
      </w:r>
      <w:r w:rsidRPr="00E701A8">
        <w:rPr>
          <w:rFonts w:cs="Arial"/>
          <w:sz w:val="20"/>
        </w:rPr>
        <w:t>PQS Agreement</w:t>
      </w:r>
      <w:r w:rsidRPr="00E923D4">
        <w:rPr>
          <w:rFonts w:cs="Arial"/>
          <w:sz w:val="20"/>
        </w:rPr>
        <w:t>, the program policies or guidelines and any other relevant documents</w:t>
      </w:r>
      <w:r>
        <w:rPr>
          <w:rFonts w:cs="Arial"/>
          <w:sz w:val="20"/>
        </w:rPr>
        <w:t xml:space="preserve"> as amended from time to time</w:t>
      </w:r>
      <w:r w:rsidRPr="00E923D4">
        <w:rPr>
          <w:rFonts w:cs="Arial"/>
          <w:sz w:val="20"/>
        </w:rPr>
        <w:t>. It is the responsibility of the PQS to ensure its staff regularly review all relevant policies and contact their departmental contract manager if they require clarification.</w:t>
      </w:r>
    </w:p>
    <w:p w14:paraId="0CDB795B" w14:textId="77777777" w:rsidR="00AA7419" w:rsidRPr="00E923D4" w:rsidRDefault="00AA7419" w:rsidP="00050CA0">
      <w:pPr>
        <w:pStyle w:val="ColorfulList-Accent11"/>
        <w:numPr>
          <w:ilvl w:val="0"/>
          <w:numId w:val="40"/>
        </w:numPr>
        <w:spacing w:before="120"/>
        <w:ind w:left="357" w:hanging="357"/>
        <w:rPr>
          <w:rFonts w:cs="Arial"/>
          <w:sz w:val="20"/>
        </w:rPr>
      </w:pPr>
      <w:r w:rsidRPr="00E923D4">
        <w:rPr>
          <w:rFonts w:cs="Arial"/>
          <w:sz w:val="20"/>
        </w:rPr>
        <w:t xml:space="preserve">Agree all obligations, duties or liabilities under the relevant policies and PQS Agreement </w:t>
      </w:r>
      <w:r w:rsidRPr="007159D4">
        <w:rPr>
          <w:rFonts w:cs="Arial"/>
          <w:sz w:val="20"/>
        </w:rPr>
        <w:t>(see clause 16)</w:t>
      </w:r>
      <w:r w:rsidRPr="00E923D4">
        <w:rPr>
          <w:rFonts w:cs="Arial"/>
          <w:sz w:val="20"/>
        </w:rPr>
        <w:t xml:space="preserve"> remain the responsibility of the PQS</w:t>
      </w:r>
      <w:r>
        <w:rPr>
          <w:rFonts w:cs="Arial"/>
          <w:sz w:val="20"/>
        </w:rPr>
        <w:t>,</w:t>
      </w:r>
      <w:r w:rsidRPr="00E923D4">
        <w:rPr>
          <w:rFonts w:cs="Arial"/>
          <w:sz w:val="20"/>
        </w:rPr>
        <w:t xml:space="preserve"> irrespective of any arrangements or agreements </w:t>
      </w:r>
      <w:r>
        <w:rPr>
          <w:rFonts w:cs="Arial"/>
          <w:sz w:val="20"/>
        </w:rPr>
        <w:t xml:space="preserve">it may have with third parties </w:t>
      </w:r>
      <w:r w:rsidRPr="00E923D4">
        <w:rPr>
          <w:rFonts w:cs="Arial"/>
          <w:sz w:val="20"/>
        </w:rPr>
        <w:t xml:space="preserve">concerning the funding program.   </w:t>
      </w:r>
    </w:p>
    <w:p w14:paraId="43F83A1F" w14:textId="77777777" w:rsidR="00AA7419" w:rsidRPr="00213067" w:rsidRDefault="00AA7419" w:rsidP="00050CA0">
      <w:pPr>
        <w:spacing w:before="120"/>
        <w:ind w:left="357"/>
        <w:rPr>
          <w:rFonts w:cs="Arial"/>
          <w:sz w:val="20"/>
          <w:szCs w:val="20"/>
        </w:rPr>
      </w:pPr>
      <w:r w:rsidRPr="00213067">
        <w:rPr>
          <w:rFonts w:cs="Arial"/>
          <w:sz w:val="20"/>
          <w:szCs w:val="20"/>
        </w:rPr>
        <w:t xml:space="preserve">The PQS is not permitted to engage or allow a third party to market the program(s) and the PQS’ participation in the program(s). Failure to abide by this condition may result in termination of the PQS Agreement. Read the PQS marketing and disclosure fact sheet for further clarification.  </w:t>
      </w:r>
    </w:p>
    <w:p w14:paraId="7233AAA3" w14:textId="77777777" w:rsidR="00AA7419" w:rsidRPr="00E923D4" w:rsidRDefault="00AA7419" w:rsidP="00050CA0">
      <w:pPr>
        <w:pStyle w:val="ColorfulList-Accent11"/>
        <w:numPr>
          <w:ilvl w:val="0"/>
          <w:numId w:val="40"/>
        </w:numPr>
        <w:spacing w:before="120" w:after="120"/>
        <w:ind w:left="351" w:hanging="357"/>
        <w:rPr>
          <w:rFonts w:cs="Arial"/>
          <w:sz w:val="20"/>
        </w:rPr>
      </w:pPr>
      <w:r w:rsidRPr="00E923D4">
        <w:rPr>
          <w:rFonts w:cs="Arial"/>
          <w:sz w:val="20"/>
        </w:rPr>
        <w:t xml:space="preserve">Assess </w:t>
      </w:r>
      <w:r>
        <w:rPr>
          <w:rFonts w:cs="Arial"/>
          <w:sz w:val="20"/>
        </w:rPr>
        <w:t xml:space="preserve">prospective </w:t>
      </w:r>
      <w:r w:rsidRPr="00E923D4">
        <w:rPr>
          <w:rFonts w:cs="Arial"/>
          <w:sz w:val="20"/>
        </w:rPr>
        <w:t>student eligibility prior to enrolment and retain all evidence to verify eligibility, including whether the student meets:</w:t>
      </w:r>
    </w:p>
    <w:p w14:paraId="432628C0" w14:textId="77777777" w:rsidR="00AA7419" w:rsidRPr="00E923D4" w:rsidRDefault="00AA7419" w:rsidP="00AA7419">
      <w:pPr>
        <w:pStyle w:val="ColorfulList-Accent11"/>
        <w:numPr>
          <w:ilvl w:val="1"/>
          <w:numId w:val="40"/>
        </w:numPr>
        <w:spacing w:after="120"/>
        <w:ind w:left="717" w:hanging="357"/>
        <w:rPr>
          <w:rFonts w:cs="Arial"/>
          <w:sz w:val="20"/>
        </w:rPr>
      </w:pPr>
      <w:r w:rsidRPr="00E923D4">
        <w:rPr>
          <w:rFonts w:cs="Arial"/>
          <w:sz w:val="20"/>
        </w:rPr>
        <w:t>the criteria outlined in the program policy, including the requirement to confirm whether the student has previously attained a certificate III or higher</w:t>
      </w:r>
      <w:r>
        <w:rPr>
          <w:rFonts w:cs="Arial"/>
          <w:sz w:val="20"/>
        </w:rPr>
        <w:t>-</w:t>
      </w:r>
      <w:r w:rsidRPr="00E923D4">
        <w:rPr>
          <w:rFonts w:cs="Arial"/>
          <w:sz w:val="20"/>
        </w:rPr>
        <w:t>level qualification*</w:t>
      </w:r>
      <w:r>
        <w:rPr>
          <w:rFonts w:cs="Arial"/>
          <w:sz w:val="20"/>
        </w:rPr>
        <w:t>;</w:t>
      </w:r>
    </w:p>
    <w:p w14:paraId="29F61934" w14:textId="77777777" w:rsidR="00AA7419" w:rsidRPr="00E923D4" w:rsidRDefault="00AA7419" w:rsidP="00AA7419">
      <w:pPr>
        <w:pStyle w:val="ColorfulList-Accent11"/>
        <w:numPr>
          <w:ilvl w:val="1"/>
          <w:numId w:val="40"/>
        </w:numPr>
        <w:spacing w:after="120"/>
        <w:ind w:left="717" w:hanging="357"/>
        <w:rPr>
          <w:rFonts w:cs="Arial"/>
          <w:sz w:val="20"/>
        </w:rPr>
      </w:pPr>
      <w:r w:rsidRPr="00E923D4">
        <w:rPr>
          <w:rFonts w:cs="Arial"/>
          <w:sz w:val="20"/>
        </w:rPr>
        <w:t>the program’s criteria for concessional status</w:t>
      </w:r>
      <w:r>
        <w:rPr>
          <w:rFonts w:cs="Arial"/>
          <w:sz w:val="20"/>
        </w:rPr>
        <w:t>; and</w:t>
      </w:r>
    </w:p>
    <w:p w14:paraId="6131B65B" w14:textId="77777777" w:rsidR="00AA7419" w:rsidRDefault="00AA7419" w:rsidP="00AA7419">
      <w:pPr>
        <w:pStyle w:val="ColorfulList-Accent11"/>
        <w:numPr>
          <w:ilvl w:val="1"/>
          <w:numId w:val="40"/>
        </w:numPr>
        <w:spacing w:after="120"/>
        <w:ind w:left="717" w:hanging="357"/>
        <w:rPr>
          <w:rFonts w:cs="Arial"/>
          <w:sz w:val="20"/>
        </w:rPr>
      </w:pPr>
      <w:r w:rsidRPr="00E923D4">
        <w:rPr>
          <w:rFonts w:cs="Arial"/>
          <w:sz w:val="20"/>
        </w:rPr>
        <w:t xml:space="preserve">any specific restrictions </w:t>
      </w:r>
      <w:r>
        <w:rPr>
          <w:rFonts w:cs="Arial"/>
          <w:sz w:val="20"/>
        </w:rPr>
        <w:t xml:space="preserve">and/or exemptions </w:t>
      </w:r>
      <w:r w:rsidRPr="00E923D4">
        <w:rPr>
          <w:rFonts w:cs="Arial"/>
          <w:sz w:val="20"/>
        </w:rPr>
        <w:t>for enrolment in a qualification outlined in the</w:t>
      </w:r>
      <w:r>
        <w:rPr>
          <w:rFonts w:cs="Arial"/>
          <w:sz w:val="20"/>
        </w:rPr>
        <w:t xml:space="preserve"> relevant program policy and/or</w:t>
      </w:r>
      <w:r w:rsidRPr="00E923D4">
        <w:rPr>
          <w:rFonts w:cs="Arial"/>
          <w:sz w:val="20"/>
        </w:rPr>
        <w:t xml:space="preserve"> </w:t>
      </w:r>
      <w:r>
        <w:rPr>
          <w:rFonts w:cs="Arial"/>
          <w:sz w:val="20"/>
        </w:rPr>
        <w:t xml:space="preserve">Priority Skills List, which include, but are not limited to, the following: </w:t>
      </w:r>
    </w:p>
    <w:p w14:paraId="4B2DB26D" w14:textId="77777777" w:rsidR="00AA7419" w:rsidRDefault="00AA7419" w:rsidP="00AA7419">
      <w:pPr>
        <w:pStyle w:val="ColorfulList-Accent11"/>
        <w:numPr>
          <w:ilvl w:val="0"/>
          <w:numId w:val="49"/>
        </w:numPr>
        <w:spacing w:after="120"/>
        <w:rPr>
          <w:rFonts w:cs="Arial"/>
          <w:sz w:val="20"/>
        </w:rPr>
      </w:pPr>
      <w:r>
        <w:rPr>
          <w:rFonts w:cs="Arial"/>
          <w:sz w:val="20"/>
        </w:rPr>
        <w:t>under Higher Level Skills, certain qualifications and skill sets mandate the student be an existing worker within the industry or hold specific qualifications prior to enrolment, to meet industry requirements for the aligned occupation</w:t>
      </w:r>
    </w:p>
    <w:p w14:paraId="3322D29F" w14:textId="77777777" w:rsidR="00AA7419" w:rsidRPr="007C746F" w:rsidRDefault="00AA7419" w:rsidP="00AA7419">
      <w:pPr>
        <w:pStyle w:val="ColorfulList-Accent11"/>
        <w:numPr>
          <w:ilvl w:val="0"/>
          <w:numId w:val="49"/>
        </w:numPr>
        <w:spacing w:after="120"/>
        <w:rPr>
          <w:rFonts w:cs="Arial"/>
          <w:sz w:val="20"/>
        </w:rPr>
      </w:pPr>
      <w:proofErr w:type="gramStart"/>
      <w:r w:rsidRPr="007C746F">
        <w:rPr>
          <w:rFonts w:cs="Arial"/>
          <w:sz w:val="20"/>
        </w:rPr>
        <w:t>for</w:t>
      </w:r>
      <w:proofErr w:type="gramEnd"/>
      <w:r w:rsidRPr="007C746F">
        <w:rPr>
          <w:rFonts w:cs="Arial"/>
          <w:sz w:val="20"/>
        </w:rPr>
        <w:t xml:space="preserve"> VET in Schools</w:t>
      </w:r>
      <w:r>
        <w:rPr>
          <w:rFonts w:cs="Arial"/>
          <w:sz w:val="20"/>
        </w:rPr>
        <w:t xml:space="preserve"> (VETiS)</w:t>
      </w:r>
      <w:r w:rsidRPr="007C746F">
        <w:rPr>
          <w:rFonts w:cs="Arial"/>
          <w:sz w:val="20"/>
        </w:rPr>
        <w:t xml:space="preserve">, only </w:t>
      </w:r>
      <w:r>
        <w:rPr>
          <w:rFonts w:cs="Arial"/>
          <w:sz w:val="20"/>
        </w:rPr>
        <w:t xml:space="preserve">approved vocational </w:t>
      </w:r>
      <w:r w:rsidRPr="007C746F">
        <w:rPr>
          <w:rFonts w:cs="Arial"/>
          <w:sz w:val="20"/>
        </w:rPr>
        <w:t>qualifications at certificate levels I and II can be delivered</w:t>
      </w:r>
      <w:r>
        <w:rPr>
          <w:rFonts w:cs="Arial"/>
          <w:sz w:val="20"/>
        </w:rPr>
        <w:t xml:space="preserve"> to school students, as these have been identified by industry as leading to employment for this cohort. Foundation skills are not approved for delivery</w:t>
      </w:r>
      <w:r w:rsidRPr="007C746F">
        <w:rPr>
          <w:rFonts w:cs="Arial"/>
          <w:sz w:val="20"/>
        </w:rPr>
        <w:t xml:space="preserve">.   </w:t>
      </w:r>
    </w:p>
    <w:p w14:paraId="59F6DB20" w14:textId="65D6536F" w:rsidR="00AA7419" w:rsidRPr="00213067" w:rsidRDefault="00AA7419" w:rsidP="00AA7419">
      <w:pPr>
        <w:ind w:left="360"/>
        <w:rPr>
          <w:rFonts w:cs="Arial"/>
          <w:sz w:val="20"/>
          <w:szCs w:val="20"/>
        </w:rPr>
      </w:pPr>
      <w:r w:rsidRPr="00213067">
        <w:rPr>
          <w:rFonts w:cs="Arial"/>
          <w:sz w:val="20"/>
          <w:szCs w:val="20"/>
        </w:rPr>
        <w:t xml:space="preserve">*It is compulsory for all PQS to use the department’s </w:t>
      </w:r>
      <w:hyperlink r:id="rId11" w:history="1">
        <w:r w:rsidRPr="00213067">
          <w:rPr>
            <w:rStyle w:val="Hyperlink"/>
            <w:rFonts w:cs="Arial"/>
            <w:sz w:val="20"/>
            <w:szCs w:val="20"/>
            <w:lang w:val="en"/>
          </w:rPr>
          <w:t>Apprenticeships / All Students Info – Self Service</w:t>
        </w:r>
        <w:r w:rsidRPr="00213067">
          <w:rPr>
            <w:rStyle w:val="Hyperlink"/>
            <w:rFonts w:eastAsiaTheme="minorEastAsia" w:cs="Arial" w:hint="eastAsia"/>
            <w:sz w:val="20"/>
            <w:szCs w:val="20"/>
            <w:lang w:val="en" w:eastAsia="zh-CN"/>
          </w:rPr>
          <w:t xml:space="preserve"> (AISS)</w:t>
        </w:r>
      </w:hyperlink>
      <w:r w:rsidRPr="00213067">
        <w:rPr>
          <w:rFonts w:cs="Arial"/>
          <w:sz w:val="20"/>
          <w:szCs w:val="20"/>
        </w:rPr>
        <w:t xml:space="preserve"> tool/search </w:t>
      </w:r>
      <w:r w:rsidRPr="00213067">
        <w:rPr>
          <w:rFonts w:eastAsiaTheme="minorEastAsia"/>
          <w:sz w:val="20"/>
          <w:szCs w:val="20"/>
          <w:lang w:eastAsia="zh-CN"/>
        </w:rPr>
        <w:t xml:space="preserve">facility within 30 days prior to enrolment, to </w:t>
      </w:r>
      <w:r w:rsidRPr="00213067">
        <w:rPr>
          <w:rFonts w:eastAsiaTheme="minorEastAsia" w:hint="eastAsia"/>
          <w:sz w:val="20"/>
          <w:szCs w:val="20"/>
          <w:lang w:eastAsia="zh-CN"/>
        </w:rPr>
        <w:t>help confirm</w:t>
      </w:r>
      <w:r w:rsidRPr="00213067">
        <w:rPr>
          <w:rFonts w:eastAsiaTheme="minorEastAsia"/>
          <w:sz w:val="20"/>
          <w:szCs w:val="20"/>
          <w:lang w:eastAsia="zh-CN"/>
        </w:rPr>
        <w:t xml:space="preserve"> whether prospective students have previously attained a certificate III or higher-level</w:t>
      </w:r>
      <w:r w:rsidRPr="00213067">
        <w:rPr>
          <w:rFonts w:cs="Arial"/>
          <w:sz w:val="20"/>
          <w:szCs w:val="20"/>
        </w:rPr>
        <w:t xml:space="preserve"> qualification. AISS may not capture all student records or awards, therefore PQS must also confirm with prospective students whether they hold, or are currently enrolled in, a certificate III or higher-level qualification and not rely solely on AISS.</w:t>
      </w:r>
    </w:p>
    <w:p w14:paraId="5AEA7856" w14:textId="77777777" w:rsidR="00AA7419" w:rsidRDefault="00AA7419" w:rsidP="00050CA0">
      <w:pPr>
        <w:pStyle w:val="ColorfulList-Accent11"/>
        <w:numPr>
          <w:ilvl w:val="0"/>
          <w:numId w:val="40"/>
        </w:numPr>
        <w:spacing w:before="120"/>
        <w:ind w:left="357" w:hanging="357"/>
        <w:rPr>
          <w:rFonts w:cs="Arial"/>
          <w:sz w:val="20"/>
        </w:rPr>
      </w:pPr>
      <w:r w:rsidRPr="00E923D4">
        <w:rPr>
          <w:rFonts w:cs="Arial"/>
          <w:sz w:val="20"/>
        </w:rPr>
        <w:t xml:space="preserve">Maintain </w:t>
      </w:r>
      <w:r>
        <w:rPr>
          <w:rFonts w:cs="Arial"/>
          <w:sz w:val="20"/>
        </w:rPr>
        <w:t>RTO</w:t>
      </w:r>
      <w:r w:rsidRPr="00E923D4">
        <w:rPr>
          <w:rFonts w:cs="Arial"/>
          <w:sz w:val="20"/>
        </w:rPr>
        <w:t xml:space="preserve"> registration for each qualification it is approved to deliver under a program and be registered to deliver full qualifications. If the PQS ceases to be registered for a qualification on its delivery schedule or relevant approval for a program</w:t>
      </w:r>
      <w:r w:rsidRPr="005B48D8">
        <w:rPr>
          <w:rFonts w:cs="Arial"/>
          <w:sz w:val="20"/>
        </w:rPr>
        <w:t>,</w:t>
      </w:r>
      <w:r w:rsidRPr="00E923D4">
        <w:rPr>
          <w:rFonts w:cs="Arial"/>
          <w:sz w:val="20"/>
        </w:rPr>
        <w:t xml:space="preserve"> it must inform the department immediately</w:t>
      </w:r>
      <w:r>
        <w:rPr>
          <w:rFonts w:cs="Arial"/>
          <w:sz w:val="20"/>
        </w:rPr>
        <w:t xml:space="preserve">. </w:t>
      </w:r>
    </w:p>
    <w:p w14:paraId="4A169914" w14:textId="34D1F165" w:rsidR="00AA7419" w:rsidRDefault="00AA7419" w:rsidP="00050CA0">
      <w:pPr>
        <w:pStyle w:val="ColorfulList-Accent11"/>
        <w:numPr>
          <w:ilvl w:val="0"/>
          <w:numId w:val="40"/>
        </w:numPr>
        <w:spacing w:before="120"/>
        <w:ind w:left="357" w:hanging="357"/>
        <w:rPr>
          <w:rFonts w:cs="Arial"/>
          <w:sz w:val="20"/>
        </w:rPr>
      </w:pPr>
      <w:r>
        <w:rPr>
          <w:rFonts w:cs="Arial"/>
          <w:sz w:val="20"/>
        </w:rPr>
        <w:t>Any proposed changes to control of the RTO entity awarded PQS status must be approved in writing by the department</w:t>
      </w:r>
      <w:r w:rsidRPr="00E923D4">
        <w:rPr>
          <w:rFonts w:cs="Arial"/>
          <w:sz w:val="20"/>
        </w:rPr>
        <w:t xml:space="preserve"> </w:t>
      </w:r>
      <w:r>
        <w:rPr>
          <w:rFonts w:cs="Arial"/>
          <w:sz w:val="20"/>
        </w:rPr>
        <w:t xml:space="preserve">before they happen </w:t>
      </w:r>
      <w:r w:rsidRPr="00E923D4">
        <w:rPr>
          <w:rFonts w:cs="Arial"/>
          <w:sz w:val="20"/>
        </w:rPr>
        <w:t xml:space="preserve">(see </w:t>
      </w:r>
      <w:r w:rsidRPr="00E923D4">
        <w:rPr>
          <w:rFonts w:cs="Arial"/>
          <w:b/>
          <w:sz w:val="20"/>
        </w:rPr>
        <w:t xml:space="preserve">Appendix </w:t>
      </w:r>
      <w:r>
        <w:rPr>
          <w:rFonts w:cs="Arial"/>
          <w:b/>
          <w:sz w:val="20"/>
        </w:rPr>
        <w:t>2</w:t>
      </w:r>
      <w:r w:rsidRPr="00E923D4">
        <w:rPr>
          <w:rFonts w:cs="Arial"/>
          <w:sz w:val="20"/>
        </w:rPr>
        <w:t>).</w:t>
      </w:r>
    </w:p>
    <w:p w14:paraId="75266FE7" w14:textId="77777777" w:rsidR="00C46F02" w:rsidRPr="00E923D4" w:rsidRDefault="00C46F02" w:rsidP="00C46F02">
      <w:pPr>
        <w:pStyle w:val="ColorfulList-Accent11"/>
        <w:spacing w:before="120"/>
        <w:ind w:left="357"/>
        <w:rPr>
          <w:rFonts w:cs="Arial"/>
          <w:sz w:val="20"/>
        </w:rPr>
      </w:pPr>
    </w:p>
    <w:p w14:paraId="499F6BCB" w14:textId="77777777" w:rsidR="00AA7419" w:rsidRDefault="00AA7419" w:rsidP="00050CA0">
      <w:pPr>
        <w:pStyle w:val="ColorfulList-Accent11"/>
        <w:numPr>
          <w:ilvl w:val="0"/>
          <w:numId w:val="40"/>
        </w:numPr>
        <w:spacing w:before="120"/>
        <w:ind w:left="357" w:hanging="357"/>
        <w:rPr>
          <w:rFonts w:cs="Arial"/>
          <w:sz w:val="20"/>
        </w:rPr>
      </w:pPr>
      <w:r w:rsidRPr="0069657F">
        <w:rPr>
          <w:rFonts w:cs="Arial"/>
          <w:sz w:val="20"/>
        </w:rPr>
        <w:lastRenderedPageBreak/>
        <w:t>Cooperate fully with PQS performance monitoring activities, including allowing the department and any auditors acting on the department’s behalf access to its premises to conduct PQS compliance audits. This means providing all necessary records, documents, information or reports to the department to indicate proper conduct and compliance with all aspects of the program. Evidence</w:t>
      </w:r>
      <w:r w:rsidRPr="0069657F">
        <w:rPr>
          <w:rFonts w:eastAsia="SimSun" w:cs="Arial"/>
          <w:sz w:val="20"/>
        </w:rPr>
        <w:t xml:space="preserve"> </w:t>
      </w:r>
      <w:r>
        <w:rPr>
          <w:rFonts w:eastAsia="SimSun" w:cs="Arial"/>
          <w:sz w:val="20"/>
        </w:rPr>
        <w:t xml:space="preserve">required </w:t>
      </w:r>
      <w:r w:rsidRPr="0069657F">
        <w:rPr>
          <w:rFonts w:eastAsia="SimSun" w:cs="Arial"/>
          <w:sz w:val="20"/>
        </w:rPr>
        <w:t xml:space="preserve">to be retained by PQS is outlined in the </w:t>
      </w:r>
      <w:r w:rsidRPr="008B0DDC">
        <w:rPr>
          <w:rFonts w:cs="Arial"/>
          <w:bCs/>
          <w:i/>
          <w:sz w:val="20"/>
        </w:rPr>
        <w:t>Pre-qualified Supplier Audit Evidence Requirements (VET Investment Programs)</w:t>
      </w:r>
      <w:r w:rsidRPr="0069657F">
        <w:rPr>
          <w:rFonts w:eastAsia="SimSun" w:cs="Arial"/>
          <w:i/>
          <w:sz w:val="20"/>
        </w:rPr>
        <w:t>.</w:t>
      </w:r>
    </w:p>
    <w:p w14:paraId="3C519402" w14:textId="77777777" w:rsidR="00AA7419" w:rsidRPr="0069657F" w:rsidRDefault="00AA7419" w:rsidP="00050CA0">
      <w:pPr>
        <w:pStyle w:val="ColorfulList-Accent11"/>
        <w:numPr>
          <w:ilvl w:val="0"/>
          <w:numId w:val="40"/>
        </w:numPr>
        <w:spacing w:before="120"/>
        <w:ind w:left="357" w:hanging="357"/>
        <w:rPr>
          <w:rFonts w:cs="Arial"/>
          <w:sz w:val="20"/>
        </w:rPr>
      </w:pPr>
      <w:r>
        <w:rPr>
          <w:rFonts w:eastAsia="SimSun" w:cs="Arial"/>
          <w:sz w:val="20"/>
        </w:rPr>
        <w:t xml:space="preserve">Evidence required to be retained by PQS must be produced to auditors promptly on request during any audit in a way that permits simple checking against the requirements of the </w:t>
      </w:r>
      <w:r>
        <w:rPr>
          <w:rFonts w:eastAsia="SimSun" w:cs="Arial"/>
          <w:sz w:val="20"/>
        </w:rPr>
        <w:br/>
      </w:r>
      <w:r w:rsidRPr="00CD0EEC">
        <w:rPr>
          <w:rFonts w:eastAsia="SimSun" w:cs="Arial"/>
          <w:bCs/>
          <w:i/>
          <w:sz w:val="20"/>
        </w:rPr>
        <w:t>Pre-qualified Supplier Audit Evidence Requirements (VET Investment Programs)</w:t>
      </w:r>
      <w:r>
        <w:rPr>
          <w:rFonts w:eastAsia="SimSun" w:cs="Arial"/>
          <w:bCs/>
          <w:i/>
          <w:sz w:val="20"/>
        </w:rPr>
        <w:t>.</w:t>
      </w:r>
      <w:r>
        <w:rPr>
          <w:rFonts w:eastAsia="SimSun" w:cs="Arial"/>
          <w:bCs/>
          <w:sz w:val="20"/>
        </w:rPr>
        <w:t xml:space="preserve"> Identified </w:t>
      </w:r>
      <w:r>
        <w:rPr>
          <w:rFonts w:eastAsia="SimSun" w:cs="Arial"/>
          <w:bCs/>
          <w:sz w:val="20"/>
        </w:rPr>
        <w:br/>
        <w:t>non-compliances will result in funding refusal or recovery action for overpayments. In exceptional cases only, the department may — in its absolute discretion — consider supplementary material provided after an audit. PQS must keep their systems and files in a way that permits them to comply with this requirement.</w:t>
      </w:r>
    </w:p>
    <w:p w14:paraId="643D9597" w14:textId="77777777" w:rsidR="00AA7419" w:rsidRPr="008258CB" w:rsidRDefault="00AA7419" w:rsidP="00050CA0">
      <w:pPr>
        <w:pStyle w:val="ColorfulList-Accent11"/>
        <w:numPr>
          <w:ilvl w:val="0"/>
          <w:numId w:val="40"/>
        </w:numPr>
        <w:spacing w:before="120" w:after="120"/>
        <w:ind w:left="357" w:hanging="357"/>
        <w:rPr>
          <w:rFonts w:cs="Arial"/>
          <w:sz w:val="20"/>
        </w:rPr>
      </w:pPr>
      <w:r w:rsidRPr="0069657F">
        <w:rPr>
          <w:rFonts w:cs="Arial"/>
          <w:sz w:val="20"/>
        </w:rPr>
        <w:t xml:space="preserve">Abide by any departmental directive to cease </w:t>
      </w:r>
      <w:r>
        <w:rPr>
          <w:rFonts w:cs="Arial"/>
          <w:sz w:val="20"/>
        </w:rPr>
        <w:t>e</w:t>
      </w:r>
      <w:r w:rsidRPr="0069657F">
        <w:rPr>
          <w:rFonts w:cs="Arial"/>
          <w:sz w:val="20"/>
        </w:rPr>
        <w:t>nrolment</w:t>
      </w:r>
      <w:r>
        <w:rPr>
          <w:rFonts w:cs="Arial"/>
          <w:sz w:val="20"/>
        </w:rPr>
        <w:t xml:space="preserve"> of new students</w:t>
      </w:r>
      <w:r w:rsidRPr="0069657F">
        <w:rPr>
          <w:rFonts w:cs="Arial"/>
          <w:sz w:val="20"/>
        </w:rPr>
        <w:t xml:space="preserve"> from a specified future date (refer to PQS Agreement). </w:t>
      </w:r>
      <w:r w:rsidRPr="008258CB">
        <w:rPr>
          <w:rFonts w:cs="Arial"/>
          <w:sz w:val="20"/>
        </w:rPr>
        <w:t xml:space="preserve">For the purposes of this </w:t>
      </w:r>
      <w:r>
        <w:rPr>
          <w:rFonts w:cs="Arial"/>
          <w:sz w:val="20"/>
        </w:rPr>
        <w:t>p</w:t>
      </w:r>
      <w:r w:rsidRPr="008258CB">
        <w:rPr>
          <w:rFonts w:cs="Arial"/>
          <w:sz w:val="20"/>
        </w:rPr>
        <w:t xml:space="preserve">erformance </w:t>
      </w:r>
      <w:r>
        <w:rPr>
          <w:rFonts w:cs="Arial"/>
          <w:sz w:val="20"/>
        </w:rPr>
        <w:t>s</w:t>
      </w:r>
      <w:r w:rsidRPr="008258CB">
        <w:rPr>
          <w:rFonts w:cs="Arial"/>
          <w:sz w:val="20"/>
        </w:rPr>
        <w:t>tandard</w:t>
      </w:r>
      <w:r>
        <w:rPr>
          <w:rFonts w:cs="Arial"/>
          <w:sz w:val="20"/>
        </w:rPr>
        <w:t>,</w:t>
      </w:r>
      <w:r w:rsidRPr="008258CB">
        <w:rPr>
          <w:rFonts w:cs="Arial"/>
          <w:sz w:val="20"/>
        </w:rPr>
        <w:t xml:space="preserve"> </w:t>
      </w:r>
      <w:r>
        <w:rPr>
          <w:rFonts w:cs="Arial"/>
          <w:sz w:val="20"/>
        </w:rPr>
        <w:t>‘Enrolment’</w:t>
      </w:r>
      <w:r w:rsidRPr="008258CB">
        <w:rPr>
          <w:rFonts w:cs="Arial"/>
          <w:sz w:val="20"/>
        </w:rPr>
        <w:t xml:space="preserve"> has the same meaning as </w:t>
      </w:r>
      <w:r>
        <w:rPr>
          <w:rFonts w:cs="Arial"/>
          <w:sz w:val="20"/>
        </w:rPr>
        <w:t>‘</w:t>
      </w:r>
      <w:r w:rsidRPr="008258CB">
        <w:rPr>
          <w:rFonts w:cs="Arial"/>
          <w:sz w:val="20"/>
        </w:rPr>
        <w:t>Activity Start Date</w:t>
      </w:r>
      <w:r>
        <w:rPr>
          <w:rFonts w:cs="Arial"/>
          <w:sz w:val="20"/>
        </w:rPr>
        <w:t>’</w:t>
      </w:r>
      <w:r w:rsidRPr="008258CB">
        <w:rPr>
          <w:rFonts w:cs="Arial"/>
          <w:sz w:val="20"/>
        </w:rPr>
        <w:t xml:space="preserve"> in the AVETMIS</w:t>
      </w:r>
      <w:r>
        <w:rPr>
          <w:rFonts w:cs="Arial"/>
          <w:sz w:val="20"/>
        </w:rPr>
        <w:t>S</w:t>
      </w:r>
      <w:r w:rsidRPr="008258CB">
        <w:rPr>
          <w:rFonts w:cs="Arial"/>
          <w:sz w:val="20"/>
        </w:rPr>
        <w:t xml:space="preserve"> as at 1 July 2017 being:</w:t>
      </w:r>
    </w:p>
    <w:p w14:paraId="29A09BD9" w14:textId="77777777" w:rsidR="00AA7419" w:rsidRPr="008258CB" w:rsidRDefault="00AA7419" w:rsidP="00AA7419">
      <w:pPr>
        <w:pStyle w:val="ColorfulList-Accent11"/>
        <w:numPr>
          <w:ilvl w:val="0"/>
          <w:numId w:val="46"/>
        </w:numPr>
        <w:spacing w:after="120"/>
        <w:ind w:left="720"/>
        <w:rPr>
          <w:rFonts w:cs="Arial"/>
          <w:sz w:val="20"/>
        </w:rPr>
      </w:pPr>
      <w:r>
        <w:rPr>
          <w:rFonts w:cs="Arial"/>
          <w:sz w:val="20"/>
        </w:rPr>
        <w:t>t</w:t>
      </w:r>
      <w:r w:rsidRPr="008258CB">
        <w:rPr>
          <w:rFonts w:cs="Arial"/>
          <w:sz w:val="20"/>
        </w:rPr>
        <w:t>he start of training activity itself (e.g</w:t>
      </w:r>
      <w:r>
        <w:rPr>
          <w:rFonts w:cs="Arial"/>
          <w:sz w:val="20"/>
        </w:rPr>
        <w:t>.</w:t>
      </w:r>
      <w:r w:rsidRPr="008258CB">
        <w:rPr>
          <w:rFonts w:cs="Arial"/>
          <w:sz w:val="20"/>
        </w:rPr>
        <w:t xml:space="preserve"> attends first class, commences online module etc.) and not the date the </w:t>
      </w:r>
      <w:r>
        <w:rPr>
          <w:rFonts w:cs="Arial"/>
          <w:sz w:val="20"/>
        </w:rPr>
        <w:t>student</w:t>
      </w:r>
      <w:r w:rsidRPr="008258CB">
        <w:rPr>
          <w:rFonts w:cs="Arial"/>
          <w:sz w:val="20"/>
        </w:rPr>
        <w:t xml:space="preserve">’s information is entered into the </w:t>
      </w:r>
      <w:r>
        <w:rPr>
          <w:rFonts w:cs="Arial"/>
          <w:sz w:val="20"/>
        </w:rPr>
        <w:t>PQS’ system; and</w:t>
      </w:r>
    </w:p>
    <w:p w14:paraId="11878D15" w14:textId="77777777" w:rsidR="00AA7419" w:rsidRPr="00480A7D" w:rsidRDefault="00AA7419" w:rsidP="00AA7419">
      <w:pPr>
        <w:pStyle w:val="ColorfulList-Accent11"/>
        <w:numPr>
          <w:ilvl w:val="0"/>
          <w:numId w:val="46"/>
        </w:numPr>
        <w:spacing w:after="120"/>
        <w:ind w:left="720"/>
        <w:rPr>
          <w:rFonts w:cs="Arial"/>
          <w:sz w:val="20"/>
        </w:rPr>
      </w:pPr>
      <w:proofErr w:type="gramStart"/>
      <w:r>
        <w:rPr>
          <w:rFonts w:cs="Arial"/>
          <w:sz w:val="20"/>
        </w:rPr>
        <w:t>i</w:t>
      </w:r>
      <w:r w:rsidRPr="008258CB">
        <w:rPr>
          <w:rFonts w:cs="Arial"/>
          <w:sz w:val="20"/>
        </w:rPr>
        <w:t>f</w:t>
      </w:r>
      <w:proofErr w:type="gramEnd"/>
      <w:r w:rsidRPr="008258CB">
        <w:rPr>
          <w:rFonts w:cs="Arial"/>
          <w:sz w:val="20"/>
        </w:rPr>
        <w:t xml:space="preserve"> a student is an assessment-only (including recognition of prior learning) student, it is the date of the start of the assessment. Where a </w:t>
      </w:r>
      <w:r>
        <w:rPr>
          <w:rFonts w:cs="Arial"/>
          <w:sz w:val="20"/>
        </w:rPr>
        <w:t>student</w:t>
      </w:r>
      <w:r w:rsidRPr="008258CB">
        <w:rPr>
          <w:rFonts w:cs="Arial"/>
          <w:sz w:val="20"/>
        </w:rPr>
        <w:t xml:space="preserve"> undertakes training and assessment activities, it is the date the </w:t>
      </w:r>
      <w:r>
        <w:rPr>
          <w:rFonts w:cs="Arial"/>
          <w:sz w:val="20"/>
        </w:rPr>
        <w:t>student</w:t>
      </w:r>
      <w:r w:rsidRPr="008258CB">
        <w:rPr>
          <w:rFonts w:cs="Arial"/>
          <w:sz w:val="20"/>
        </w:rPr>
        <w:t xml:space="preserve"> starts their training activity</w:t>
      </w:r>
      <w:r>
        <w:rPr>
          <w:rFonts w:cs="Arial"/>
          <w:sz w:val="20"/>
        </w:rPr>
        <w:t>.</w:t>
      </w:r>
    </w:p>
    <w:p w14:paraId="183C096A" w14:textId="77777777" w:rsidR="00AA7419" w:rsidRPr="00E923D4" w:rsidRDefault="00AA7419" w:rsidP="00AA7419">
      <w:pPr>
        <w:pStyle w:val="ColorfulList-Accent11"/>
        <w:numPr>
          <w:ilvl w:val="0"/>
          <w:numId w:val="40"/>
        </w:numPr>
        <w:ind w:left="360"/>
        <w:rPr>
          <w:rFonts w:cs="Arial"/>
          <w:sz w:val="20"/>
        </w:rPr>
      </w:pPr>
      <w:r w:rsidRPr="00E923D4">
        <w:rPr>
          <w:rFonts w:cs="Arial"/>
          <w:sz w:val="20"/>
        </w:rPr>
        <w:t>Claim only eligible</w:t>
      </w:r>
      <w:r>
        <w:rPr>
          <w:rFonts w:cs="Arial"/>
          <w:sz w:val="20"/>
        </w:rPr>
        <w:t>,</w:t>
      </w:r>
      <w:r w:rsidRPr="00E923D4">
        <w:rPr>
          <w:rFonts w:cs="Arial"/>
          <w:sz w:val="20"/>
        </w:rPr>
        <w:t xml:space="preserve"> payable </w:t>
      </w:r>
      <w:r>
        <w:rPr>
          <w:rFonts w:cs="Arial"/>
          <w:sz w:val="20"/>
        </w:rPr>
        <w:t xml:space="preserve">and compliant </w:t>
      </w:r>
      <w:r w:rsidRPr="00E923D4">
        <w:rPr>
          <w:rFonts w:cs="Arial"/>
          <w:sz w:val="20"/>
        </w:rPr>
        <w:t xml:space="preserve">training and assessment services from the department as outlined in this policy at </w:t>
      </w:r>
      <w:r w:rsidRPr="00E923D4">
        <w:rPr>
          <w:rFonts w:cs="Arial"/>
          <w:b/>
          <w:sz w:val="20"/>
        </w:rPr>
        <w:t xml:space="preserve">Appendix </w:t>
      </w:r>
      <w:r>
        <w:rPr>
          <w:rFonts w:cs="Arial"/>
          <w:b/>
          <w:sz w:val="20"/>
        </w:rPr>
        <w:t>4</w:t>
      </w:r>
      <w:r>
        <w:rPr>
          <w:rFonts w:eastAsiaTheme="minorEastAsia" w:cs="Arial" w:hint="eastAsia"/>
          <w:sz w:val="20"/>
          <w:lang w:eastAsia="zh-CN"/>
        </w:rPr>
        <w:t xml:space="preserve"> and</w:t>
      </w:r>
      <w:r w:rsidRPr="00E923D4">
        <w:rPr>
          <w:rFonts w:cs="Arial"/>
          <w:sz w:val="20"/>
        </w:rPr>
        <w:t xml:space="preserve"> </w:t>
      </w:r>
      <w:r w:rsidRPr="00E923D4">
        <w:rPr>
          <w:rFonts w:cs="Arial"/>
          <w:b/>
          <w:sz w:val="20"/>
        </w:rPr>
        <w:t xml:space="preserve">Appendix </w:t>
      </w:r>
      <w:r>
        <w:rPr>
          <w:rFonts w:cs="Arial"/>
          <w:b/>
          <w:sz w:val="20"/>
        </w:rPr>
        <w:t>6</w:t>
      </w:r>
      <w:r w:rsidRPr="00E923D4">
        <w:rPr>
          <w:rFonts w:cs="Arial"/>
          <w:sz w:val="20"/>
        </w:rPr>
        <w:t>, and the relevant program policy or guidelines.</w:t>
      </w:r>
    </w:p>
    <w:p w14:paraId="4799B7C2" w14:textId="77777777" w:rsidR="00AA7419" w:rsidRPr="00491223" w:rsidRDefault="00AA7419" w:rsidP="00C46F02">
      <w:pPr>
        <w:pStyle w:val="ColorfulList-Accent11"/>
        <w:overflowPunct/>
        <w:autoSpaceDE/>
        <w:autoSpaceDN/>
        <w:adjustRightInd/>
        <w:spacing w:before="120"/>
        <w:ind w:left="0"/>
        <w:textAlignment w:val="auto"/>
        <w:outlineLvl w:val="1"/>
        <w:rPr>
          <w:rFonts w:eastAsia="SimSun" w:cs="Arial"/>
          <w:b/>
          <w:szCs w:val="22"/>
        </w:rPr>
      </w:pPr>
      <w:r w:rsidRPr="00491223">
        <w:rPr>
          <w:rFonts w:eastAsia="SimSun" w:cs="Arial"/>
          <w:b/>
          <w:szCs w:val="22"/>
        </w:rPr>
        <w:t xml:space="preserve">Performance standard </w:t>
      </w:r>
      <w:r>
        <w:rPr>
          <w:rFonts w:eastAsia="SimSun" w:cs="Arial"/>
          <w:b/>
          <w:szCs w:val="22"/>
        </w:rPr>
        <w:t>4</w:t>
      </w:r>
      <w:r w:rsidRPr="00491223">
        <w:rPr>
          <w:rFonts w:eastAsia="SimSun" w:cs="Arial"/>
          <w:b/>
          <w:szCs w:val="22"/>
        </w:rPr>
        <w:t xml:space="preserve"> — </w:t>
      </w:r>
      <w:r>
        <w:rPr>
          <w:rFonts w:eastAsia="SimSun" w:cs="Arial"/>
          <w:b/>
          <w:szCs w:val="22"/>
        </w:rPr>
        <w:t>Support the learning needs of students</w:t>
      </w:r>
    </w:p>
    <w:p w14:paraId="6CA65CEF" w14:textId="685FC32F" w:rsidR="00AA7419" w:rsidRPr="002128C2" w:rsidRDefault="00AA7419" w:rsidP="00C46F02">
      <w:pPr>
        <w:pStyle w:val="ColorfulList-Accent11"/>
        <w:numPr>
          <w:ilvl w:val="0"/>
          <w:numId w:val="45"/>
        </w:numPr>
        <w:spacing w:before="120"/>
        <w:ind w:left="357" w:hanging="357"/>
        <w:rPr>
          <w:rFonts w:cs="Arial"/>
          <w:sz w:val="20"/>
        </w:rPr>
      </w:pPr>
      <w:r w:rsidRPr="002128C2">
        <w:rPr>
          <w:rFonts w:cs="Arial"/>
          <w:sz w:val="20"/>
        </w:rPr>
        <w:t xml:space="preserve">Implement effective inclusive practice strategies for students consistent with the Queensland VET Inclusive Learning Framework — </w:t>
      </w:r>
      <w:hyperlink r:id="rId12" w:history="1">
        <w:r w:rsidRPr="002128C2">
          <w:rPr>
            <w:rStyle w:val="Hyperlink"/>
            <w:rFonts w:cs="Arial"/>
            <w:i/>
            <w:sz w:val="20"/>
          </w:rPr>
          <w:t>Inclusive Learning: A way forward</w:t>
        </w:r>
      </w:hyperlink>
      <w:r w:rsidRPr="002128C2">
        <w:rPr>
          <w:rFonts w:cs="Arial"/>
          <w:i/>
          <w:sz w:val="20"/>
        </w:rPr>
        <w:t xml:space="preserve">. </w:t>
      </w:r>
      <w:r w:rsidRPr="002128C2">
        <w:rPr>
          <w:rFonts w:cs="Arial"/>
          <w:sz w:val="20"/>
        </w:rPr>
        <w:t xml:space="preserve">The framework identifies five actions for RTOs and four principles for VET educators to embed inclusive practice in their processes, systems and day-to-day activity. </w:t>
      </w:r>
    </w:p>
    <w:p w14:paraId="7F098AE8" w14:textId="6F2D2A97" w:rsidR="00AA7419" w:rsidRPr="002128C2" w:rsidRDefault="00AA7419" w:rsidP="00050CA0">
      <w:pPr>
        <w:pStyle w:val="ColorfulList-Accent11"/>
        <w:spacing w:before="120"/>
        <w:ind w:left="357"/>
        <w:rPr>
          <w:rFonts w:cs="Arial"/>
          <w:sz w:val="20"/>
        </w:rPr>
      </w:pPr>
      <w:r w:rsidRPr="002128C2">
        <w:rPr>
          <w:rFonts w:cs="Arial"/>
          <w:sz w:val="20"/>
        </w:rPr>
        <w:t xml:space="preserve">The PQS must be able to show at audit that inclusive practice is a core business element. </w:t>
      </w:r>
      <w:r w:rsidRPr="002128C2">
        <w:rPr>
          <w:rFonts w:cs="Arial"/>
          <w:sz w:val="20"/>
        </w:rPr>
        <w:br/>
        <w:t xml:space="preserve">They must demonstrate implementation of inclusive practices to support student participation and learning outcomes. The department provides </w:t>
      </w:r>
      <w:hyperlink r:id="rId13" w:history="1">
        <w:r w:rsidRPr="002128C2">
          <w:rPr>
            <w:rStyle w:val="Hyperlink"/>
            <w:rFonts w:cs="Arial"/>
            <w:sz w:val="20"/>
          </w:rPr>
          <w:t>free inclusive practice resources</w:t>
        </w:r>
      </w:hyperlink>
      <w:r w:rsidRPr="002128C2">
        <w:rPr>
          <w:rFonts w:cs="Arial"/>
          <w:sz w:val="20"/>
        </w:rPr>
        <w:t xml:space="preserve"> to inform and support professional learning. </w:t>
      </w:r>
    </w:p>
    <w:p w14:paraId="52F68919" w14:textId="4652C7F0" w:rsidR="00AA7419" w:rsidRDefault="00AA7419" w:rsidP="00050CA0">
      <w:pPr>
        <w:pStyle w:val="ColorfulList-Accent11"/>
        <w:spacing w:before="120"/>
        <w:ind w:left="357"/>
        <w:rPr>
          <w:rFonts w:cs="Arial"/>
          <w:sz w:val="20"/>
        </w:rPr>
      </w:pPr>
      <w:r w:rsidRPr="002128C2">
        <w:rPr>
          <w:rFonts w:cs="Arial"/>
          <w:sz w:val="20"/>
        </w:rPr>
        <w:t xml:space="preserve">PQS can also access adaptive technologies and support services for learners with a disability through the department’s </w:t>
      </w:r>
      <w:hyperlink r:id="rId14" w:history="1">
        <w:r w:rsidRPr="002128C2">
          <w:rPr>
            <w:rStyle w:val="Hyperlink"/>
            <w:rFonts w:cs="Arial"/>
            <w:sz w:val="20"/>
          </w:rPr>
          <w:t>Skills Disability Support</w:t>
        </w:r>
      </w:hyperlink>
      <w:r w:rsidRPr="002128C2">
        <w:rPr>
          <w:rFonts w:cs="Arial"/>
          <w:sz w:val="20"/>
        </w:rPr>
        <w:t xml:space="preserve"> service.</w:t>
      </w:r>
    </w:p>
    <w:p w14:paraId="47CDF241" w14:textId="77777777" w:rsidR="00AA7419" w:rsidRPr="00F960EC" w:rsidRDefault="00AA7419" w:rsidP="00050CA0">
      <w:pPr>
        <w:pStyle w:val="ColorfulList-Accent11"/>
        <w:numPr>
          <w:ilvl w:val="0"/>
          <w:numId w:val="45"/>
        </w:numPr>
        <w:spacing w:before="120"/>
        <w:ind w:left="357" w:hanging="357"/>
        <w:rPr>
          <w:rFonts w:cs="Arial"/>
          <w:sz w:val="20"/>
        </w:rPr>
      </w:pPr>
      <w:r w:rsidRPr="00F960EC">
        <w:rPr>
          <w:rFonts w:cs="Arial"/>
          <w:sz w:val="20"/>
        </w:rPr>
        <w:t xml:space="preserve">Ensure any foundation skills training delivered to a student is preceded by effective assessment of the student’s language, literacy and numeracy (LLN) proficiency skills. Effective assessment means the PQS must be able to show evidence at audit that it undertook the following steps prior to the commencement of training. </w:t>
      </w:r>
    </w:p>
    <w:p w14:paraId="48D1DD07" w14:textId="77777777" w:rsidR="00AA7419" w:rsidRPr="00CA278B" w:rsidRDefault="00AA7419" w:rsidP="00050CA0">
      <w:pPr>
        <w:pStyle w:val="ColorfulList-Accent11"/>
        <w:numPr>
          <w:ilvl w:val="0"/>
          <w:numId w:val="36"/>
        </w:numPr>
        <w:spacing w:before="120"/>
        <w:ind w:left="714" w:hanging="357"/>
        <w:rPr>
          <w:rFonts w:eastAsiaTheme="minorEastAsia"/>
        </w:rPr>
      </w:pPr>
      <w:r w:rsidRPr="00CA278B">
        <w:rPr>
          <w:rFonts w:cs="Arial"/>
          <w:sz w:val="20"/>
          <w:lang w:eastAsia="en-AU"/>
        </w:rPr>
        <w:t xml:space="preserve">An informed judgement was made about the student’s current capabilities by analysing the student’s knowledge and skills against recognised foundation skills benchmarks and against the skills required for entry into and completion of the vocational qualification. </w:t>
      </w:r>
      <w:r w:rsidRPr="00CA278B">
        <w:rPr>
          <w:rFonts w:cs="Arial"/>
          <w:sz w:val="20"/>
          <w:lang w:eastAsia="en-AU"/>
        </w:rPr>
        <w:br/>
      </w:r>
      <w:r w:rsidRPr="00CA278B">
        <w:rPr>
          <w:rFonts w:cs="Arial"/>
          <w:sz w:val="20"/>
          <w:lang w:eastAsia="en-AU"/>
        </w:rPr>
        <w:br/>
        <w:t xml:space="preserve">The department supports the use of the </w:t>
      </w:r>
      <w:r w:rsidRPr="00CA278B">
        <w:rPr>
          <w:rFonts w:cs="Arial"/>
          <w:i/>
          <w:sz w:val="20"/>
          <w:lang w:eastAsia="en-AU"/>
        </w:rPr>
        <w:t>Australian Core Skills Framework</w:t>
      </w:r>
      <w:r w:rsidRPr="00CA278B">
        <w:rPr>
          <w:rFonts w:cs="Arial"/>
          <w:sz w:val="20"/>
          <w:lang w:eastAsia="en-AU"/>
        </w:rPr>
        <w:t xml:space="preserve"> (ACSF) and the </w:t>
      </w:r>
      <w:r w:rsidRPr="00CA278B">
        <w:rPr>
          <w:rFonts w:cs="Arial"/>
          <w:i/>
          <w:sz w:val="20"/>
          <w:lang w:eastAsia="en-AU"/>
        </w:rPr>
        <w:t>Core Skills for Work Developmental Framework</w:t>
      </w:r>
      <w:r w:rsidRPr="00CA278B">
        <w:rPr>
          <w:rFonts w:cs="Arial"/>
          <w:sz w:val="20"/>
          <w:lang w:eastAsia="en-AU"/>
        </w:rPr>
        <w:t xml:space="preserve"> (</w:t>
      </w:r>
      <w:proofErr w:type="spellStart"/>
      <w:r w:rsidRPr="00CA278B">
        <w:rPr>
          <w:rFonts w:cs="Arial"/>
          <w:sz w:val="20"/>
          <w:lang w:eastAsia="en-AU"/>
        </w:rPr>
        <w:t>CSfW</w:t>
      </w:r>
      <w:proofErr w:type="spellEnd"/>
      <w:r w:rsidRPr="00CA278B">
        <w:rPr>
          <w:rFonts w:cs="Arial"/>
          <w:sz w:val="20"/>
          <w:lang w:eastAsia="en-AU"/>
        </w:rPr>
        <w:t xml:space="preserve">) to benchmark a learner’s current foundation skills capabilities. </w:t>
      </w:r>
      <w:r w:rsidRPr="00CA278B">
        <w:rPr>
          <w:rFonts w:cs="Arial"/>
          <w:sz w:val="20"/>
        </w:rPr>
        <w:t>The development of the judgement:</w:t>
      </w:r>
    </w:p>
    <w:p w14:paraId="36191E39" w14:textId="77777777" w:rsidR="00AA7419" w:rsidRPr="00F960EC" w:rsidRDefault="00AA7419" w:rsidP="00AA7419">
      <w:pPr>
        <w:pStyle w:val="ColorfulList-Accent11"/>
        <w:numPr>
          <w:ilvl w:val="0"/>
          <w:numId w:val="34"/>
        </w:numPr>
        <w:overflowPunct/>
        <w:spacing w:before="120" w:after="120"/>
        <w:ind w:left="1071" w:hanging="357"/>
        <w:textAlignment w:val="auto"/>
        <w:rPr>
          <w:rFonts w:cs="Arial"/>
          <w:sz w:val="20"/>
        </w:rPr>
      </w:pPr>
      <w:r w:rsidRPr="00F960EC">
        <w:rPr>
          <w:rFonts w:cs="Arial"/>
          <w:sz w:val="20"/>
        </w:rPr>
        <w:t>may be in the form of an interview, test or activities</w:t>
      </w:r>
    </w:p>
    <w:p w14:paraId="7CA951E3" w14:textId="77777777" w:rsidR="00AA7419" w:rsidRPr="00F960EC" w:rsidRDefault="00AA7419" w:rsidP="00AA7419">
      <w:pPr>
        <w:pStyle w:val="ColorfulList-Accent11"/>
        <w:numPr>
          <w:ilvl w:val="0"/>
          <w:numId w:val="34"/>
        </w:numPr>
        <w:overflowPunct/>
        <w:spacing w:after="120"/>
        <w:ind w:left="1074" w:hanging="357"/>
        <w:textAlignment w:val="auto"/>
        <w:rPr>
          <w:rFonts w:cs="Arial"/>
          <w:sz w:val="20"/>
        </w:rPr>
      </w:pPr>
      <w:r w:rsidRPr="00F960EC">
        <w:rPr>
          <w:rFonts w:cs="Arial"/>
          <w:sz w:val="20"/>
        </w:rPr>
        <w:t>must be customised to the competencies required for the targeted vocational qualification</w:t>
      </w:r>
    </w:p>
    <w:p w14:paraId="06B761DC" w14:textId="77777777" w:rsidR="00AA7419" w:rsidRPr="00F960EC" w:rsidRDefault="00AA7419" w:rsidP="00AA7419">
      <w:pPr>
        <w:pStyle w:val="ColorfulList-Accent11"/>
        <w:numPr>
          <w:ilvl w:val="0"/>
          <w:numId w:val="34"/>
        </w:numPr>
        <w:overflowPunct/>
        <w:ind w:left="1080"/>
        <w:contextualSpacing/>
        <w:textAlignment w:val="auto"/>
        <w:rPr>
          <w:rFonts w:cs="Arial"/>
          <w:b/>
          <w:i/>
          <w:sz w:val="20"/>
        </w:rPr>
      </w:pPr>
      <w:proofErr w:type="gramStart"/>
      <w:r w:rsidRPr="00F960EC">
        <w:rPr>
          <w:rFonts w:cs="Arial"/>
          <w:sz w:val="20"/>
        </w:rPr>
        <w:t>must</w:t>
      </w:r>
      <w:proofErr w:type="gramEnd"/>
      <w:r w:rsidRPr="00F960EC">
        <w:rPr>
          <w:rFonts w:cs="Arial"/>
          <w:sz w:val="20"/>
        </w:rPr>
        <w:t xml:space="preserve"> consider documented evidence of the student’s history (i.e. previous education and training, work history, impairments</w:t>
      </w:r>
      <w:r w:rsidRPr="00F960EC">
        <w:rPr>
          <w:rFonts w:eastAsiaTheme="minorEastAsia" w:cs="Arial" w:hint="eastAsia"/>
          <w:sz w:val="20"/>
          <w:lang w:eastAsia="zh-CN"/>
        </w:rPr>
        <w:t xml:space="preserve"> and</w:t>
      </w:r>
      <w:r w:rsidRPr="00F960EC">
        <w:rPr>
          <w:rFonts w:cs="Arial"/>
          <w:sz w:val="20"/>
        </w:rPr>
        <w:t xml:space="preserve"> disabilities).</w:t>
      </w:r>
    </w:p>
    <w:p w14:paraId="4C53C435" w14:textId="77777777" w:rsidR="00AA7419" w:rsidRPr="00213067" w:rsidRDefault="00AA7419" w:rsidP="00050CA0">
      <w:pPr>
        <w:pStyle w:val="ColorfulList-Accent11"/>
        <w:numPr>
          <w:ilvl w:val="0"/>
          <w:numId w:val="36"/>
        </w:numPr>
        <w:spacing w:before="120"/>
        <w:ind w:left="714" w:hanging="357"/>
        <w:rPr>
          <w:rFonts w:cs="Arial"/>
          <w:sz w:val="20"/>
          <w:lang w:eastAsia="en-AU"/>
        </w:rPr>
      </w:pPr>
      <w:r w:rsidRPr="00213067">
        <w:rPr>
          <w:rFonts w:cs="Arial"/>
          <w:sz w:val="20"/>
          <w:lang w:eastAsia="en-AU"/>
        </w:rPr>
        <w:t>A training and support plan was developed that outlines how the foundation skills training will be delivered and the foundation skills outcomes to be achieved through to completion of the vocational qualification. The plan and learning pathway must have the support of the student.</w:t>
      </w:r>
    </w:p>
    <w:p w14:paraId="449AF128" w14:textId="77777777" w:rsidR="00AA7419" w:rsidRPr="00213067" w:rsidRDefault="00AA7419" w:rsidP="00AA7419">
      <w:pPr>
        <w:ind w:left="720"/>
        <w:rPr>
          <w:rFonts w:cs="Arial"/>
          <w:sz w:val="20"/>
          <w:szCs w:val="20"/>
        </w:rPr>
      </w:pPr>
      <w:r w:rsidRPr="00213067">
        <w:rPr>
          <w:rFonts w:cs="Arial"/>
          <w:sz w:val="20"/>
          <w:szCs w:val="20"/>
        </w:rPr>
        <w:lastRenderedPageBreak/>
        <w:t xml:space="preserve">For requirements to be satisfied relating to the training and support plan, see the </w:t>
      </w:r>
      <w:r w:rsidRPr="00213067">
        <w:rPr>
          <w:rFonts w:cs="Arial"/>
          <w:bCs/>
          <w:i/>
          <w:sz w:val="20"/>
          <w:szCs w:val="20"/>
        </w:rPr>
        <w:t>Pre-qualified Supplier Audit Evidence Requirements (VET Investment Programs)</w:t>
      </w:r>
      <w:r w:rsidRPr="00213067">
        <w:rPr>
          <w:rFonts w:cs="Arial"/>
          <w:sz w:val="20"/>
          <w:szCs w:val="20"/>
        </w:rPr>
        <w:t>.</w:t>
      </w:r>
    </w:p>
    <w:p w14:paraId="4D9A9F0E" w14:textId="77777777" w:rsidR="00AA7419" w:rsidRPr="00213067" w:rsidRDefault="00AA7419" w:rsidP="00AA7419">
      <w:pPr>
        <w:ind w:left="720"/>
        <w:contextualSpacing/>
        <w:rPr>
          <w:rFonts w:cs="Arial"/>
          <w:sz w:val="20"/>
          <w:szCs w:val="20"/>
        </w:rPr>
      </w:pPr>
      <w:r w:rsidRPr="00213067">
        <w:rPr>
          <w:rFonts w:cs="Arial"/>
          <w:sz w:val="20"/>
          <w:szCs w:val="20"/>
        </w:rPr>
        <w:t>A student does not have to be enrolled in a vocational qualification when undertaking foundation skills training, but a pathway to the targeted vocational qualification must be identified in the student’s training and support plan.</w:t>
      </w:r>
    </w:p>
    <w:p w14:paraId="5DA4BEA8" w14:textId="77777777" w:rsidR="00AA7419" w:rsidRPr="00213067" w:rsidRDefault="00AA7419" w:rsidP="00C46F02">
      <w:pPr>
        <w:spacing w:before="120"/>
        <w:ind w:left="720"/>
        <w:rPr>
          <w:rFonts w:cs="Arial"/>
          <w:sz w:val="20"/>
          <w:szCs w:val="20"/>
        </w:rPr>
      </w:pPr>
      <w:r w:rsidRPr="00213067">
        <w:rPr>
          <w:rFonts w:cs="Arial"/>
          <w:sz w:val="20"/>
          <w:szCs w:val="20"/>
        </w:rPr>
        <w:t>The training and support plan should be reviewed upon achievement of key milestones and adjusted if needed</w:t>
      </w:r>
      <w:r w:rsidRPr="00213067">
        <w:rPr>
          <w:rFonts w:eastAsiaTheme="minorEastAsia" w:cs="Arial" w:hint="eastAsia"/>
          <w:sz w:val="20"/>
          <w:szCs w:val="20"/>
          <w:lang w:eastAsia="zh-CN"/>
        </w:rPr>
        <w:t>,</w:t>
      </w:r>
      <w:r w:rsidRPr="00213067">
        <w:rPr>
          <w:rFonts w:cs="Arial"/>
          <w:sz w:val="20"/>
          <w:szCs w:val="20"/>
        </w:rPr>
        <w:t xml:space="preserve"> based on the progress of the student and the training pathway that will best support their learning needs.</w:t>
      </w:r>
    </w:p>
    <w:p w14:paraId="089DD4DD" w14:textId="77777777" w:rsidR="00AA7419" w:rsidRPr="00213067" w:rsidRDefault="00AA7419" w:rsidP="00C46F02">
      <w:pPr>
        <w:spacing w:before="120"/>
        <w:ind w:left="720"/>
        <w:rPr>
          <w:sz w:val="20"/>
          <w:szCs w:val="20"/>
        </w:rPr>
      </w:pPr>
      <w:r w:rsidRPr="00213067">
        <w:rPr>
          <w:b/>
          <w:sz w:val="20"/>
          <w:szCs w:val="20"/>
        </w:rPr>
        <w:t>Note:</w:t>
      </w:r>
      <w:r w:rsidRPr="00213067">
        <w:rPr>
          <w:sz w:val="20"/>
          <w:szCs w:val="20"/>
        </w:rPr>
        <w:t xml:space="preserve"> when enrolling students in FSK Foundation Skills Training Package qualifications, the PQS must ensure their selection of elective units maximises foundation skills/LLN training. Where the training package requirements contain flexibility in selection of vocational units, the PQS is to focus this selection on foundation skills training.</w:t>
      </w:r>
    </w:p>
    <w:p w14:paraId="3E9A7C1F" w14:textId="77777777" w:rsidR="00AA7419" w:rsidRDefault="00AA7419" w:rsidP="00C46F02">
      <w:pPr>
        <w:pStyle w:val="ColorfulList-Accent11"/>
        <w:numPr>
          <w:ilvl w:val="0"/>
          <w:numId w:val="45"/>
        </w:numPr>
        <w:spacing w:before="120"/>
        <w:ind w:left="357" w:hanging="357"/>
        <w:rPr>
          <w:rFonts w:cs="Arial"/>
          <w:sz w:val="20"/>
        </w:rPr>
      </w:pPr>
      <w:r>
        <w:rPr>
          <w:rFonts w:cs="Arial"/>
          <w:sz w:val="20"/>
        </w:rPr>
        <w:t>Prior to enrolling a student in a lower-level vocational qualification under the Certificate 3 Guarantee as part of a supported training pathway, the PQS must:</w:t>
      </w:r>
    </w:p>
    <w:p w14:paraId="434B088A" w14:textId="77777777" w:rsidR="00AA7419" w:rsidRDefault="00AA7419" w:rsidP="00C46F02">
      <w:pPr>
        <w:pStyle w:val="ColorfulList-Accent11"/>
        <w:numPr>
          <w:ilvl w:val="0"/>
          <w:numId w:val="51"/>
        </w:numPr>
        <w:spacing w:before="120" w:after="120"/>
        <w:ind w:left="714" w:hanging="357"/>
        <w:rPr>
          <w:rFonts w:cs="Arial"/>
          <w:sz w:val="20"/>
        </w:rPr>
      </w:pPr>
      <w:r>
        <w:rPr>
          <w:rFonts w:cs="Arial"/>
          <w:sz w:val="20"/>
        </w:rPr>
        <w:t>undertake and document an upfront skills assessment that identifies the student as a disadvantaged learner that faces barriers to training participation, and requires additional support prior to enrolment in a certificate III vocational qualification; and</w:t>
      </w:r>
    </w:p>
    <w:p w14:paraId="309364CF" w14:textId="77777777" w:rsidR="00AA7419" w:rsidRDefault="00AA7419" w:rsidP="00AA7419">
      <w:pPr>
        <w:pStyle w:val="ColorfulList-Accent11"/>
        <w:numPr>
          <w:ilvl w:val="0"/>
          <w:numId w:val="51"/>
        </w:numPr>
        <w:contextualSpacing/>
        <w:rPr>
          <w:rFonts w:cs="Arial"/>
          <w:sz w:val="20"/>
        </w:rPr>
      </w:pPr>
      <w:proofErr w:type="gramStart"/>
      <w:r>
        <w:rPr>
          <w:rFonts w:cs="Arial"/>
          <w:sz w:val="20"/>
        </w:rPr>
        <w:t>d</w:t>
      </w:r>
      <w:r w:rsidRPr="001B3B40">
        <w:rPr>
          <w:rFonts w:cs="Arial"/>
          <w:sz w:val="20"/>
        </w:rPr>
        <w:t>evelop</w:t>
      </w:r>
      <w:proofErr w:type="gramEnd"/>
      <w:r w:rsidRPr="001B3B40">
        <w:rPr>
          <w:rFonts w:cs="Arial"/>
          <w:sz w:val="20"/>
        </w:rPr>
        <w:t xml:space="preserve"> a training and support plan that is tailored to the student’s unique circumstances and abilities, and which includes learning support strategies. </w:t>
      </w:r>
    </w:p>
    <w:p w14:paraId="0C0DAAAC" w14:textId="77777777" w:rsidR="00AA7419" w:rsidRPr="00213067" w:rsidRDefault="00AA7419" w:rsidP="00C46F02">
      <w:pPr>
        <w:spacing w:before="120"/>
        <w:ind w:left="357" w:right="-147"/>
        <w:contextualSpacing/>
        <w:rPr>
          <w:rFonts w:cs="Arial"/>
          <w:sz w:val="20"/>
          <w:szCs w:val="20"/>
        </w:rPr>
      </w:pPr>
      <w:r w:rsidRPr="00213067">
        <w:rPr>
          <w:rFonts w:cs="Arial"/>
          <w:sz w:val="20"/>
          <w:szCs w:val="20"/>
        </w:rPr>
        <w:t xml:space="preserve">For requirements to be satisfied relating to the upfront skills assessment, and the training and support plan, see the </w:t>
      </w:r>
      <w:r w:rsidRPr="00213067">
        <w:rPr>
          <w:rFonts w:cs="Arial"/>
          <w:bCs/>
          <w:i/>
          <w:sz w:val="20"/>
          <w:szCs w:val="20"/>
        </w:rPr>
        <w:t>Pre-qualified Supplier Audit Evidence Requirements (VET Investment Programs)</w:t>
      </w:r>
      <w:r w:rsidRPr="00213067">
        <w:rPr>
          <w:rFonts w:cs="Arial"/>
          <w:i/>
          <w:sz w:val="20"/>
          <w:szCs w:val="20"/>
        </w:rPr>
        <w:t>.</w:t>
      </w:r>
    </w:p>
    <w:p w14:paraId="12C28E01" w14:textId="77777777" w:rsidR="00AA7419" w:rsidRPr="00491223" w:rsidRDefault="00AA7419" w:rsidP="00C46F02">
      <w:pPr>
        <w:pStyle w:val="ColorfulList-Accent11"/>
        <w:overflowPunct/>
        <w:autoSpaceDE/>
        <w:autoSpaceDN/>
        <w:adjustRightInd/>
        <w:spacing w:before="120"/>
        <w:ind w:left="0"/>
        <w:textAlignment w:val="auto"/>
        <w:outlineLvl w:val="1"/>
        <w:rPr>
          <w:rFonts w:eastAsia="SimSun" w:cs="Arial"/>
          <w:b/>
          <w:szCs w:val="22"/>
        </w:rPr>
      </w:pPr>
      <w:r w:rsidRPr="00A83F8D">
        <w:rPr>
          <w:rFonts w:eastAsia="SimSun" w:cs="Arial"/>
          <w:b/>
          <w:szCs w:val="22"/>
        </w:rPr>
        <w:t>Performance</w:t>
      </w:r>
      <w:r w:rsidRPr="00491223">
        <w:rPr>
          <w:rFonts w:eastAsia="SimSun" w:cs="Arial"/>
          <w:b/>
          <w:szCs w:val="22"/>
        </w:rPr>
        <w:t xml:space="preserve"> standard </w:t>
      </w:r>
      <w:r>
        <w:rPr>
          <w:rFonts w:eastAsia="SimSun" w:cs="Arial"/>
          <w:b/>
          <w:szCs w:val="22"/>
        </w:rPr>
        <w:t>5</w:t>
      </w:r>
      <w:r w:rsidRPr="00491223">
        <w:rPr>
          <w:rFonts w:eastAsia="SimSun" w:cs="Arial"/>
          <w:b/>
          <w:szCs w:val="22"/>
        </w:rPr>
        <w:t xml:space="preserve"> — </w:t>
      </w:r>
      <w:r>
        <w:rPr>
          <w:rFonts w:eastAsia="SimSun" w:cs="Arial"/>
          <w:b/>
          <w:szCs w:val="22"/>
        </w:rPr>
        <w:t>Achieve a minimum outcome for students</w:t>
      </w:r>
    </w:p>
    <w:p w14:paraId="4CCE8977" w14:textId="77777777" w:rsidR="00AA7419" w:rsidRPr="005362B6" w:rsidRDefault="00AA7419" w:rsidP="00AA7419">
      <w:pPr>
        <w:snapToGrid w:val="0"/>
        <w:rPr>
          <w:rFonts w:cs="Arial"/>
          <w:sz w:val="16"/>
          <w:szCs w:val="16"/>
        </w:rPr>
      </w:pPr>
    </w:p>
    <w:p w14:paraId="2A7C708D" w14:textId="77777777" w:rsidR="00AA7419" w:rsidRPr="00E923D4" w:rsidRDefault="00AA7419" w:rsidP="00AA7419">
      <w:pPr>
        <w:pStyle w:val="ColorfulList-Accent11"/>
        <w:numPr>
          <w:ilvl w:val="0"/>
          <w:numId w:val="44"/>
        </w:numPr>
        <w:spacing w:after="120"/>
        <w:ind w:left="360"/>
        <w:rPr>
          <w:rFonts w:cs="Arial"/>
          <w:sz w:val="20"/>
        </w:rPr>
      </w:pPr>
      <w:r w:rsidRPr="00E923D4">
        <w:rPr>
          <w:rFonts w:cs="Arial"/>
          <w:sz w:val="20"/>
        </w:rPr>
        <w:t xml:space="preserve">Maintain strong industry and employer networks to: </w:t>
      </w:r>
    </w:p>
    <w:p w14:paraId="02F68E4B" w14:textId="77777777" w:rsidR="00AA7419" w:rsidRPr="00E923D4" w:rsidRDefault="00AA7419" w:rsidP="00AA7419">
      <w:pPr>
        <w:pStyle w:val="ColorfulList-Accent11"/>
        <w:numPr>
          <w:ilvl w:val="0"/>
          <w:numId w:val="46"/>
        </w:numPr>
        <w:spacing w:after="120"/>
        <w:ind w:left="720"/>
        <w:rPr>
          <w:rFonts w:cs="Arial"/>
          <w:sz w:val="20"/>
        </w:rPr>
      </w:pPr>
      <w:r w:rsidRPr="00E923D4">
        <w:rPr>
          <w:rFonts w:cs="Arial"/>
          <w:sz w:val="20"/>
        </w:rPr>
        <w:t>deliver training that directly links to local job vacancies and employment outcomes</w:t>
      </w:r>
      <w:r>
        <w:rPr>
          <w:rFonts w:cs="Arial"/>
          <w:sz w:val="20"/>
        </w:rPr>
        <w:t>;</w:t>
      </w:r>
    </w:p>
    <w:p w14:paraId="47BD8825" w14:textId="77777777" w:rsidR="00AA7419" w:rsidRPr="00E923D4" w:rsidRDefault="00AA7419" w:rsidP="00AA7419">
      <w:pPr>
        <w:pStyle w:val="ColorfulList-Accent11"/>
        <w:numPr>
          <w:ilvl w:val="0"/>
          <w:numId w:val="46"/>
        </w:numPr>
        <w:spacing w:after="120"/>
        <w:ind w:left="720"/>
        <w:rPr>
          <w:rFonts w:cs="Arial"/>
          <w:sz w:val="20"/>
        </w:rPr>
      </w:pPr>
      <w:r w:rsidRPr="00E923D4">
        <w:rPr>
          <w:rFonts w:cs="Arial"/>
          <w:sz w:val="20"/>
        </w:rPr>
        <w:t>facilitate any vocational or work placements</w:t>
      </w:r>
      <w:r>
        <w:rPr>
          <w:rFonts w:cs="Arial"/>
          <w:sz w:val="20"/>
        </w:rPr>
        <w:t>; and</w:t>
      </w:r>
    </w:p>
    <w:p w14:paraId="4D1CD66C" w14:textId="77777777" w:rsidR="00AA7419" w:rsidRPr="00E923D4" w:rsidRDefault="00AA7419" w:rsidP="00AA7419">
      <w:pPr>
        <w:pStyle w:val="ColorfulList-Accent11"/>
        <w:numPr>
          <w:ilvl w:val="0"/>
          <w:numId w:val="46"/>
        </w:numPr>
        <w:spacing w:after="120"/>
        <w:ind w:left="720"/>
        <w:rPr>
          <w:rFonts w:cs="Arial"/>
          <w:sz w:val="20"/>
        </w:rPr>
      </w:pPr>
      <w:proofErr w:type="gramStart"/>
      <w:r w:rsidRPr="00E923D4">
        <w:rPr>
          <w:rFonts w:cs="Arial"/>
          <w:sz w:val="20"/>
        </w:rPr>
        <w:t>support</w:t>
      </w:r>
      <w:proofErr w:type="gramEnd"/>
      <w:r w:rsidRPr="00E923D4">
        <w:rPr>
          <w:rFonts w:cs="Arial"/>
          <w:sz w:val="20"/>
        </w:rPr>
        <w:t xml:space="preserve"> students to transition to the workforce or into further training, or advance in their chosen career.</w:t>
      </w:r>
    </w:p>
    <w:p w14:paraId="665ADC0D" w14:textId="77777777" w:rsidR="00AA7419" w:rsidRPr="00E923D4" w:rsidRDefault="00AA7419" w:rsidP="00AA7419">
      <w:pPr>
        <w:pStyle w:val="ColorfulList-Accent11"/>
        <w:numPr>
          <w:ilvl w:val="0"/>
          <w:numId w:val="44"/>
        </w:numPr>
        <w:ind w:left="360"/>
        <w:rPr>
          <w:rFonts w:cs="Arial"/>
          <w:sz w:val="20"/>
        </w:rPr>
      </w:pPr>
      <w:r w:rsidRPr="00E923D4">
        <w:rPr>
          <w:rFonts w:cs="Arial"/>
          <w:sz w:val="20"/>
        </w:rPr>
        <w:t xml:space="preserve">Deliver quality training and assessment services that support students to complete the </w:t>
      </w:r>
      <w:r>
        <w:rPr>
          <w:rFonts w:cs="Arial"/>
          <w:sz w:val="20"/>
        </w:rPr>
        <w:t>course (qualification or skill set if applicable)</w:t>
      </w:r>
      <w:r w:rsidRPr="00E923D4">
        <w:rPr>
          <w:rFonts w:cs="Arial"/>
          <w:sz w:val="20"/>
        </w:rPr>
        <w:t>.</w:t>
      </w:r>
      <w:r>
        <w:rPr>
          <w:rFonts w:cs="Arial"/>
          <w:sz w:val="20"/>
        </w:rPr>
        <w:t xml:space="preserve"> When undertaking recognition of prior learning (RPL) assessment, the PQS must be able to demonstrate compliance with all RPL requirements outlined in the </w:t>
      </w:r>
      <w:r w:rsidRPr="008B0DDC">
        <w:rPr>
          <w:rFonts w:cs="Arial"/>
          <w:bCs/>
          <w:i/>
          <w:sz w:val="20"/>
        </w:rPr>
        <w:t>Pre-qualified Supplier Audit Evidence Requirements (VET Investment Programs)</w:t>
      </w:r>
      <w:r>
        <w:rPr>
          <w:rFonts w:cs="Arial"/>
          <w:i/>
          <w:sz w:val="20"/>
        </w:rPr>
        <w:t>.</w:t>
      </w:r>
      <w:r>
        <w:rPr>
          <w:rFonts w:cs="Arial"/>
          <w:sz w:val="20"/>
        </w:rPr>
        <w:t xml:space="preserve">  </w:t>
      </w:r>
    </w:p>
    <w:p w14:paraId="3B44B32E" w14:textId="77777777" w:rsidR="00AA7419" w:rsidRPr="00351D70" w:rsidRDefault="00AA7419" w:rsidP="00C46F02">
      <w:pPr>
        <w:pStyle w:val="ColorfulList-Accent11"/>
        <w:numPr>
          <w:ilvl w:val="0"/>
          <w:numId w:val="44"/>
        </w:numPr>
        <w:spacing w:before="120"/>
        <w:ind w:left="357" w:hanging="357"/>
        <w:rPr>
          <w:rFonts w:cs="Arial"/>
          <w:sz w:val="20"/>
        </w:rPr>
      </w:pPr>
      <w:r w:rsidRPr="00DA41BA">
        <w:rPr>
          <w:rFonts w:cs="Arial"/>
          <w:sz w:val="20"/>
        </w:rPr>
        <w:t>Inform students they are required to complete a</w:t>
      </w:r>
      <w:r>
        <w:rPr>
          <w:rFonts w:cs="Arial"/>
          <w:sz w:val="20"/>
        </w:rPr>
        <w:t xml:space="preserve"> training and</w:t>
      </w:r>
      <w:r w:rsidRPr="00DA41BA">
        <w:rPr>
          <w:rFonts w:cs="Arial"/>
          <w:sz w:val="20"/>
        </w:rPr>
        <w:t xml:space="preserve"> employment survey within three months of completing or discontinuing subsidised training</w:t>
      </w:r>
      <w:r w:rsidRPr="00351D70">
        <w:rPr>
          <w:rFonts w:cs="Arial"/>
          <w:sz w:val="20"/>
        </w:rPr>
        <w:t xml:space="preserve">. </w:t>
      </w:r>
    </w:p>
    <w:p w14:paraId="2A550988" w14:textId="77777777" w:rsidR="00AA7419" w:rsidRDefault="00AA7419" w:rsidP="00C46F02">
      <w:pPr>
        <w:pStyle w:val="ColorfulList-Accent11"/>
        <w:numPr>
          <w:ilvl w:val="0"/>
          <w:numId w:val="44"/>
        </w:numPr>
        <w:spacing w:before="120"/>
        <w:ind w:left="357" w:hanging="357"/>
        <w:rPr>
          <w:rFonts w:cs="Arial"/>
          <w:sz w:val="20"/>
        </w:rPr>
      </w:pPr>
      <w:r w:rsidRPr="00E923D4">
        <w:rPr>
          <w:rFonts w:cs="Arial"/>
          <w:sz w:val="20"/>
        </w:rPr>
        <w:t>Manage an effective student survey process to achieve an adequate response rate</w:t>
      </w:r>
      <w:r>
        <w:rPr>
          <w:rFonts w:cs="Arial"/>
          <w:sz w:val="20"/>
        </w:rPr>
        <w:t xml:space="preserve"> from all enrolled training participants who have completed training and students who withdrew or discontinued for whatever reason</w:t>
      </w:r>
      <w:r w:rsidRPr="00E923D4">
        <w:rPr>
          <w:rFonts w:cs="Arial"/>
          <w:sz w:val="20"/>
        </w:rPr>
        <w:t>.</w:t>
      </w:r>
    </w:p>
    <w:p w14:paraId="1C01145A" w14:textId="77777777" w:rsidR="00AA7419" w:rsidRPr="007F3D74" w:rsidRDefault="00AA7419" w:rsidP="00C46F02">
      <w:pPr>
        <w:pStyle w:val="ColorfulList-Accent11"/>
        <w:numPr>
          <w:ilvl w:val="0"/>
          <w:numId w:val="44"/>
        </w:numPr>
        <w:spacing w:before="120"/>
        <w:ind w:left="357" w:hanging="357"/>
        <w:rPr>
          <w:rFonts w:cs="Arial"/>
          <w:sz w:val="20"/>
        </w:rPr>
      </w:pPr>
      <w:r w:rsidRPr="007F3D74">
        <w:rPr>
          <w:rFonts w:cs="Arial"/>
          <w:sz w:val="20"/>
        </w:rPr>
        <w:t xml:space="preserve">Report student survey responses quarterly to the department in accordance with the timelines in the </w:t>
      </w:r>
      <w:r w:rsidRPr="007F3D74">
        <w:rPr>
          <w:rFonts w:eastAsiaTheme="minorEastAsia"/>
          <w:sz w:val="20"/>
        </w:rPr>
        <w:t>s</w:t>
      </w:r>
      <w:r w:rsidRPr="007F3D74">
        <w:rPr>
          <w:sz w:val="20"/>
        </w:rPr>
        <w:t xml:space="preserve">tudent training and </w:t>
      </w:r>
      <w:r w:rsidRPr="007F3D74">
        <w:rPr>
          <w:rFonts w:eastAsiaTheme="minorEastAsia"/>
          <w:sz w:val="20"/>
        </w:rPr>
        <w:t>e</w:t>
      </w:r>
      <w:r w:rsidRPr="007F3D74">
        <w:rPr>
          <w:sz w:val="20"/>
        </w:rPr>
        <w:t xml:space="preserve">mployment </w:t>
      </w:r>
      <w:r w:rsidRPr="007F3D74">
        <w:rPr>
          <w:rFonts w:eastAsiaTheme="minorEastAsia"/>
          <w:sz w:val="20"/>
        </w:rPr>
        <w:t>s</w:t>
      </w:r>
      <w:r w:rsidRPr="007F3D74">
        <w:rPr>
          <w:sz w:val="20"/>
        </w:rPr>
        <w:t>urvey fact sheet</w:t>
      </w:r>
      <w:r w:rsidRPr="007F3D74">
        <w:rPr>
          <w:rFonts w:cs="Arial"/>
          <w:sz w:val="20"/>
        </w:rPr>
        <w:t xml:space="preserve">. This includes a nil report to be submitted by PQS that have no student completions or discontinuing students for the quarter. The PQS must submit collated results using the </w:t>
      </w:r>
      <w:r w:rsidRPr="007F3D74">
        <w:rPr>
          <w:sz w:val="20"/>
        </w:rPr>
        <w:t>report template</w:t>
      </w:r>
      <w:r w:rsidRPr="007F3D74">
        <w:rPr>
          <w:rFonts w:cs="Arial"/>
          <w:sz w:val="20"/>
        </w:rPr>
        <w:t xml:space="preserve"> published on the department’s website and retain evidence of student responses.  </w:t>
      </w:r>
    </w:p>
    <w:p w14:paraId="0D5056C5" w14:textId="77777777" w:rsidR="00AA7419" w:rsidRDefault="00AA7419" w:rsidP="00C46F02">
      <w:pPr>
        <w:pStyle w:val="ColorfulList-Accent11"/>
        <w:overflowPunct/>
        <w:autoSpaceDE/>
        <w:autoSpaceDN/>
        <w:adjustRightInd/>
        <w:spacing w:before="120"/>
        <w:ind w:left="357"/>
        <w:textAlignment w:val="auto"/>
        <w:rPr>
          <w:rFonts w:cs="Arial"/>
          <w:sz w:val="20"/>
        </w:rPr>
      </w:pPr>
      <w:r w:rsidRPr="0064132D">
        <w:rPr>
          <w:rFonts w:cs="Arial"/>
          <w:sz w:val="20"/>
        </w:rPr>
        <w:t xml:space="preserve">The department will </w:t>
      </w:r>
      <w:r>
        <w:rPr>
          <w:rFonts w:cs="Arial"/>
          <w:sz w:val="20"/>
        </w:rPr>
        <w:t>analyse</w:t>
      </w:r>
      <w:r w:rsidRPr="0064132D">
        <w:rPr>
          <w:rFonts w:cs="Arial"/>
          <w:sz w:val="20"/>
        </w:rPr>
        <w:t xml:space="preserve"> student survey responses for the purpose of assessing PQS performance and return on government investment.</w:t>
      </w:r>
    </w:p>
    <w:p w14:paraId="2B4A3439" w14:textId="77777777" w:rsidR="00AA7419" w:rsidRPr="00650238" w:rsidRDefault="00AA7419" w:rsidP="00C46F02">
      <w:pPr>
        <w:pStyle w:val="Header1policy"/>
        <w:spacing w:before="120"/>
        <w:ind w:left="357" w:hanging="357"/>
        <w:outlineLvl w:val="0"/>
      </w:pPr>
      <w:r w:rsidRPr="00650238">
        <w:t>Performance monitoring and evaluation</w:t>
      </w:r>
    </w:p>
    <w:p w14:paraId="2C3E6462" w14:textId="2614A904" w:rsidR="00AA7419" w:rsidRDefault="00AA7419" w:rsidP="00C46F02">
      <w:pPr>
        <w:pStyle w:val="ColorfulList-Accent11"/>
        <w:overflowPunct/>
        <w:autoSpaceDE/>
        <w:autoSpaceDN/>
        <w:adjustRightInd/>
        <w:spacing w:before="120"/>
        <w:ind w:left="0"/>
        <w:textAlignment w:val="auto"/>
        <w:rPr>
          <w:rFonts w:eastAsia="SimSun" w:cs="Arial"/>
          <w:sz w:val="20"/>
        </w:rPr>
      </w:pPr>
      <w:r w:rsidRPr="00E923D4">
        <w:rPr>
          <w:rFonts w:eastAsia="SimSun" w:cs="Arial"/>
          <w:sz w:val="20"/>
        </w:rPr>
        <w:t>The department will undertake performance monitoring and evaluation activities</w:t>
      </w:r>
      <w:r w:rsidRPr="00A940CE">
        <w:rPr>
          <w:rFonts w:eastAsia="SimSun" w:cs="Arial" w:hint="eastAsia"/>
          <w:sz w:val="20"/>
          <w:lang w:eastAsia="zh-CN"/>
        </w:rPr>
        <w:t>,</w:t>
      </w:r>
      <w:r w:rsidRPr="00A940CE">
        <w:rPr>
          <w:rFonts w:eastAsia="SimSun" w:cs="Arial"/>
          <w:sz w:val="20"/>
        </w:rPr>
        <w:t xml:space="preserve"> </w:t>
      </w:r>
      <w:r w:rsidRPr="00E923D4">
        <w:rPr>
          <w:rFonts w:eastAsia="SimSun" w:cs="Arial"/>
          <w:sz w:val="20"/>
        </w:rPr>
        <w:t xml:space="preserve">including </w:t>
      </w:r>
      <w:r>
        <w:rPr>
          <w:rFonts w:eastAsia="SimSun" w:cs="Arial"/>
          <w:sz w:val="20"/>
        </w:rPr>
        <w:t>but not limited to PQS compliance</w:t>
      </w:r>
      <w:r w:rsidRPr="00E923D4">
        <w:rPr>
          <w:rFonts w:eastAsia="SimSun" w:cs="Arial"/>
          <w:sz w:val="20"/>
        </w:rPr>
        <w:t xml:space="preserve"> audits</w:t>
      </w:r>
      <w:r>
        <w:rPr>
          <w:rFonts w:eastAsia="SimSun" w:cs="Arial"/>
          <w:sz w:val="20"/>
        </w:rPr>
        <w:t>,</w:t>
      </w:r>
      <w:r w:rsidRPr="00E923D4">
        <w:rPr>
          <w:rFonts w:eastAsia="SimSun" w:cs="Arial"/>
          <w:sz w:val="20"/>
        </w:rPr>
        <w:t xml:space="preserve"> to </w:t>
      </w:r>
      <w:r>
        <w:rPr>
          <w:rFonts w:eastAsia="SimSun" w:cs="Arial"/>
          <w:sz w:val="20"/>
        </w:rPr>
        <w:t>assess</w:t>
      </w:r>
      <w:r w:rsidRPr="00E923D4">
        <w:rPr>
          <w:rFonts w:eastAsia="SimSun" w:cs="Arial"/>
          <w:sz w:val="20"/>
        </w:rPr>
        <w:t xml:space="preserve"> PQS</w:t>
      </w:r>
      <w:r>
        <w:rPr>
          <w:rFonts w:eastAsia="SimSun" w:cs="Arial"/>
          <w:sz w:val="20"/>
        </w:rPr>
        <w:t>’ compliance</w:t>
      </w:r>
      <w:r w:rsidRPr="00E923D4">
        <w:rPr>
          <w:rFonts w:eastAsia="SimSun" w:cs="Arial"/>
          <w:sz w:val="20"/>
        </w:rPr>
        <w:t xml:space="preserve"> with this policy, the PQS Agreement, the relevant program policy and any other guidelines or documents as published by the department. </w:t>
      </w:r>
    </w:p>
    <w:p w14:paraId="01A4C45E" w14:textId="77777777" w:rsidR="00C46F02" w:rsidRDefault="00C46F02" w:rsidP="00C46F02">
      <w:pPr>
        <w:pStyle w:val="ColorfulList-Accent11"/>
        <w:overflowPunct/>
        <w:autoSpaceDE/>
        <w:autoSpaceDN/>
        <w:adjustRightInd/>
        <w:spacing w:before="120"/>
        <w:ind w:left="0"/>
        <w:textAlignment w:val="auto"/>
        <w:rPr>
          <w:rFonts w:eastAsia="SimSun" w:cs="Arial"/>
          <w:sz w:val="20"/>
        </w:rPr>
      </w:pPr>
    </w:p>
    <w:p w14:paraId="71BE1B4F" w14:textId="77777777" w:rsidR="00AA7419" w:rsidRPr="00E923D4" w:rsidRDefault="00AA7419" w:rsidP="00C46F02">
      <w:pPr>
        <w:pStyle w:val="ColorfulList-Accent11"/>
        <w:overflowPunct/>
        <w:autoSpaceDE/>
        <w:autoSpaceDN/>
        <w:adjustRightInd/>
        <w:spacing w:before="120"/>
        <w:ind w:left="0"/>
        <w:textAlignment w:val="auto"/>
        <w:rPr>
          <w:rFonts w:eastAsia="SimSun" w:cs="Arial"/>
          <w:sz w:val="20"/>
        </w:rPr>
      </w:pPr>
      <w:r w:rsidRPr="00E923D4">
        <w:rPr>
          <w:rFonts w:eastAsia="SimSun" w:cs="Arial"/>
          <w:sz w:val="20"/>
        </w:rPr>
        <w:lastRenderedPageBreak/>
        <w:t>The selection of PQS for audits may be done randomly</w:t>
      </w:r>
      <w:r>
        <w:rPr>
          <w:rFonts w:eastAsia="SimSun" w:cs="Arial"/>
          <w:sz w:val="20"/>
        </w:rPr>
        <w:t>,</w:t>
      </w:r>
      <w:r w:rsidRPr="00E923D4">
        <w:rPr>
          <w:rFonts w:eastAsia="SimSun" w:cs="Arial"/>
          <w:sz w:val="20"/>
        </w:rPr>
        <w:t xml:space="preserve"> target PQS perceived to be higher risk</w:t>
      </w:r>
      <w:r>
        <w:rPr>
          <w:rFonts w:eastAsia="SimSun" w:cs="Arial"/>
          <w:sz w:val="20"/>
        </w:rPr>
        <w:t xml:space="preserve">, or be </w:t>
      </w:r>
      <w:r>
        <w:rPr>
          <w:rFonts w:eastAsia="SimSun" w:cs="Arial" w:hint="eastAsia"/>
          <w:sz w:val="20"/>
          <w:lang w:eastAsia="zh-CN"/>
        </w:rPr>
        <w:t xml:space="preserve">initiated </w:t>
      </w:r>
      <w:r>
        <w:rPr>
          <w:rFonts w:eastAsia="SimSun" w:cs="Arial"/>
          <w:sz w:val="20"/>
        </w:rPr>
        <w:t>in response to complaints made to the department or the Queensland Training Ombudsman</w:t>
      </w:r>
      <w:r w:rsidRPr="00E923D4">
        <w:rPr>
          <w:rFonts w:eastAsia="SimSun" w:cs="Arial"/>
          <w:sz w:val="20"/>
        </w:rPr>
        <w:t>.</w:t>
      </w:r>
      <w:r>
        <w:rPr>
          <w:rFonts w:eastAsia="SimSun" w:cs="Arial"/>
          <w:sz w:val="20"/>
        </w:rPr>
        <w:t xml:space="preserve"> Evidence requirements to be met are stated in the </w:t>
      </w:r>
      <w:r w:rsidRPr="001062AE">
        <w:rPr>
          <w:rFonts w:eastAsia="SimSun" w:cs="Arial"/>
          <w:i/>
          <w:sz w:val="20"/>
        </w:rPr>
        <w:t>Pre-qualified Supplier Audit Evidence Requirements (VET Investment Programs)</w:t>
      </w:r>
      <w:r>
        <w:rPr>
          <w:rFonts w:eastAsia="SimSun" w:cs="Arial"/>
          <w:sz w:val="20"/>
        </w:rPr>
        <w:t>, including those requirements which will result in a recovery of funds and other action if non-compliances are identified during audit activities.</w:t>
      </w:r>
    </w:p>
    <w:p w14:paraId="6DE0FB0B" w14:textId="77777777" w:rsidR="00AA7419" w:rsidRDefault="00AA7419" w:rsidP="00AA7419">
      <w:pPr>
        <w:pStyle w:val="ColorfulList-Accent11"/>
        <w:overflowPunct/>
        <w:autoSpaceDE/>
        <w:autoSpaceDN/>
        <w:adjustRightInd/>
        <w:ind w:left="0"/>
        <w:contextualSpacing/>
        <w:textAlignment w:val="auto"/>
        <w:rPr>
          <w:rFonts w:eastAsia="SimSun" w:cs="Arial"/>
          <w:sz w:val="20"/>
        </w:rPr>
      </w:pPr>
      <w:r>
        <w:rPr>
          <w:rFonts w:eastAsia="SimSun" w:cs="Arial"/>
          <w:sz w:val="20"/>
        </w:rPr>
        <w:t xml:space="preserve">Additionally, the department has introduced an independent 12-month post-training destination survey to directly engage with students. Feedback received will inform assessment of PQS performance and the effectiveness of training pathways in leading to employment outcomes or career progression. </w:t>
      </w:r>
    </w:p>
    <w:p w14:paraId="6B0BD86B" w14:textId="77777777" w:rsidR="00AA7419" w:rsidRPr="00454CA0" w:rsidRDefault="00AA7419" w:rsidP="00AA7419">
      <w:pPr>
        <w:pStyle w:val="ColorfulList-Accent11"/>
        <w:overflowPunct/>
        <w:autoSpaceDE/>
        <w:autoSpaceDN/>
        <w:adjustRightInd/>
        <w:ind w:left="0"/>
        <w:contextualSpacing/>
        <w:textAlignment w:val="auto"/>
        <w:rPr>
          <w:rFonts w:eastAsia="SimSun" w:cs="Arial"/>
          <w:sz w:val="16"/>
        </w:rPr>
      </w:pPr>
    </w:p>
    <w:p w14:paraId="407A71CA" w14:textId="77777777" w:rsidR="00AA7419" w:rsidRDefault="00AA7419" w:rsidP="00AA7419">
      <w:pPr>
        <w:pStyle w:val="ColorfulList-Accent11"/>
        <w:overflowPunct/>
        <w:autoSpaceDE/>
        <w:autoSpaceDN/>
        <w:adjustRightInd/>
        <w:ind w:left="0"/>
        <w:contextualSpacing/>
        <w:textAlignment w:val="auto"/>
        <w:rPr>
          <w:rFonts w:eastAsia="SimSun" w:cs="Arial"/>
          <w:sz w:val="20"/>
          <w:lang w:eastAsia="zh-CN"/>
        </w:rPr>
      </w:pPr>
      <w:r w:rsidRPr="00E923D4">
        <w:rPr>
          <w:rFonts w:eastAsia="SimSun" w:cs="Arial"/>
          <w:sz w:val="20"/>
        </w:rPr>
        <w:t xml:space="preserve">The PQS should note any identified contravention of </w:t>
      </w:r>
      <w:r>
        <w:rPr>
          <w:rFonts w:eastAsia="SimSun" w:cs="Arial"/>
          <w:sz w:val="20"/>
        </w:rPr>
        <w:t>the PQS Agreement or the department’s policies</w:t>
      </w:r>
      <w:r w:rsidRPr="00E923D4">
        <w:rPr>
          <w:rFonts w:eastAsia="SimSun" w:cs="Arial"/>
          <w:sz w:val="20"/>
        </w:rPr>
        <w:t xml:space="preserve"> may result in action by the department</w:t>
      </w:r>
      <w:r>
        <w:rPr>
          <w:rFonts w:eastAsia="SimSun" w:cs="Arial"/>
          <w:sz w:val="20"/>
        </w:rPr>
        <w:t>,</w:t>
      </w:r>
      <w:r w:rsidRPr="00E923D4">
        <w:rPr>
          <w:rFonts w:eastAsia="SimSun" w:cs="Arial"/>
          <w:sz w:val="20"/>
        </w:rPr>
        <w:t xml:space="preserve"> including:</w:t>
      </w:r>
    </w:p>
    <w:p w14:paraId="346C2208" w14:textId="77777777" w:rsidR="00AA7419" w:rsidRPr="00454CA0" w:rsidRDefault="00AA7419" w:rsidP="00AA7419">
      <w:pPr>
        <w:pStyle w:val="ColorfulList-Accent11"/>
        <w:overflowPunct/>
        <w:autoSpaceDE/>
        <w:autoSpaceDN/>
        <w:adjustRightInd/>
        <w:ind w:left="0"/>
        <w:contextualSpacing/>
        <w:textAlignment w:val="auto"/>
        <w:rPr>
          <w:rFonts w:eastAsia="SimSun" w:cs="Arial"/>
          <w:sz w:val="16"/>
          <w:lang w:eastAsia="zh-CN"/>
        </w:rPr>
      </w:pPr>
    </w:p>
    <w:p w14:paraId="336269F8" w14:textId="77777777" w:rsidR="00AA7419"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Pr>
          <w:rFonts w:eastAsia="SimSun" w:cs="Arial"/>
          <w:sz w:val="20"/>
        </w:rPr>
        <w:t>referral to ASQA for audit of training and assessment practices</w:t>
      </w:r>
    </w:p>
    <w:p w14:paraId="6188197F" w14:textId="77777777" w:rsidR="00AA7419" w:rsidRPr="00E923D4"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sidRPr="00E923D4">
        <w:rPr>
          <w:rFonts w:eastAsia="SimSun" w:cs="Arial"/>
          <w:sz w:val="20"/>
        </w:rPr>
        <w:t>recovery of funds previously paid to the PQS by the department</w:t>
      </w:r>
    </w:p>
    <w:p w14:paraId="3D470523" w14:textId="77777777" w:rsidR="00AA7419"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Pr>
          <w:rFonts w:eastAsia="SimSun" w:cs="Arial"/>
          <w:sz w:val="20"/>
        </w:rPr>
        <w:t>directive to cease new enrolments in a qualification or program</w:t>
      </w:r>
    </w:p>
    <w:p w14:paraId="689CEE0C" w14:textId="77777777" w:rsidR="00AA7419" w:rsidRPr="00E923D4"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Pr>
          <w:rFonts w:eastAsia="SimSun" w:cs="Arial"/>
          <w:sz w:val="20"/>
        </w:rPr>
        <w:t xml:space="preserve">withholding </w:t>
      </w:r>
      <w:r w:rsidRPr="00F10017">
        <w:rPr>
          <w:rFonts w:eastAsia="SimSun" w:cs="Arial"/>
          <w:sz w:val="20"/>
        </w:rPr>
        <w:t xml:space="preserve">payment for </w:t>
      </w:r>
      <w:r>
        <w:rPr>
          <w:rFonts w:eastAsia="SimSun" w:cs="Arial"/>
          <w:sz w:val="20"/>
        </w:rPr>
        <w:t>u</w:t>
      </w:r>
      <w:r w:rsidRPr="00F10017">
        <w:rPr>
          <w:rFonts w:eastAsia="SimSun" w:cs="Arial"/>
          <w:sz w:val="20"/>
        </w:rPr>
        <w:t>nit</w:t>
      </w:r>
      <w:r>
        <w:rPr>
          <w:rFonts w:eastAsia="SimSun" w:cs="Arial"/>
          <w:sz w:val="20"/>
        </w:rPr>
        <w:t xml:space="preserve">(s) relating to the contravention of the PQS Agreement or Policies </w:t>
      </w:r>
    </w:p>
    <w:p w14:paraId="6765367F" w14:textId="77777777" w:rsidR="00AA7419" w:rsidRPr="00E923D4"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sidRPr="00E923D4">
        <w:rPr>
          <w:rFonts w:eastAsia="SimSun" w:cs="Arial"/>
          <w:sz w:val="20"/>
        </w:rPr>
        <w:t>suspension of funding for future enrolments in a qualification(s)</w:t>
      </w:r>
    </w:p>
    <w:p w14:paraId="30E894CF" w14:textId="77777777" w:rsidR="00AA7419" w:rsidRPr="00E923D4"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sidRPr="00E923D4">
        <w:rPr>
          <w:rFonts w:eastAsia="SimSun" w:cs="Arial"/>
          <w:sz w:val="20"/>
        </w:rPr>
        <w:t xml:space="preserve">suspension or </w:t>
      </w:r>
      <w:r>
        <w:rPr>
          <w:rFonts w:eastAsia="SimSun" w:cs="Arial"/>
          <w:sz w:val="20"/>
        </w:rPr>
        <w:t>withdrawal</w:t>
      </w:r>
      <w:r w:rsidRPr="00E923D4">
        <w:rPr>
          <w:rFonts w:eastAsia="SimSun" w:cs="Arial"/>
          <w:sz w:val="20"/>
        </w:rPr>
        <w:t xml:space="preserve"> of PQS approval for a qualification(s)</w:t>
      </w:r>
    </w:p>
    <w:p w14:paraId="65A1878A" w14:textId="77777777" w:rsidR="00AA7419"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sidRPr="00E923D4">
        <w:rPr>
          <w:rFonts w:eastAsia="SimSun" w:cs="Arial"/>
          <w:sz w:val="20"/>
        </w:rPr>
        <w:t xml:space="preserve">suspension or </w:t>
      </w:r>
      <w:r>
        <w:rPr>
          <w:rFonts w:eastAsia="SimSun" w:cs="Arial"/>
          <w:sz w:val="20"/>
        </w:rPr>
        <w:t>withdrawal</w:t>
      </w:r>
      <w:r w:rsidRPr="00E923D4">
        <w:rPr>
          <w:rFonts w:eastAsia="SimSun" w:cs="Arial"/>
          <w:sz w:val="20"/>
        </w:rPr>
        <w:t xml:space="preserve"> of PQS approval for a program(s) </w:t>
      </w:r>
    </w:p>
    <w:p w14:paraId="00D997C5" w14:textId="77777777" w:rsidR="00AA7419" w:rsidRDefault="00AA7419" w:rsidP="00AA7419">
      <w:pPr>
        <w:pStyle w:val="ColorfulList-Accent11"/>
        <w:numPr>
          <w:ilvl w:val="0"/>
          <w:numId w:val="37"/>
        </w:numPr>
        <w:overflowPunct/>
        <w:autoSpaceDE/>
        <w:autoSpaceDN/>
        <w:adjustRightInd/>
        <w:spacing w:after="120"/>
        <w:ind w:left="357" w:hanging="357"/>
        <w:textAlignment w:val="auto"/>
        <w:rPr>
          <w:rFonts w:eastAsia="SimSun" w:cs="Arial"/>
          <w:sz w:val="20"/>
        </w:rPr>
      </w:pPr>
      <w:r w:rsidRPr="00E923D4">
        <w:rPr>
          <w:rFonts w:eastAsia="SimSun" w:cs="Arial"/>
          <w:sz w:val="20"/>
        </w:rPr>
        <w:t xml:space="preserve">suspension or </w:t>
      </w:r>
      <w:r>
        <w:rPr>
          <w:rFonts w:eastAsia="SimSun" w:cs="Arial"/>
          <w:sz w:val="20"/>
        </w:rPr>
        <w:t>termination</w:t>
      </w:r>
      <w:r w:rsidRPr="00E923D4">
        <w:rPr>
          <w:rFonts w:eastAsia="SimSun" w:cs="Arial"/>
          <w:sz w:val="20"/>
        </w:rPr>
        <w:t xml:space="preserve"> of </w:t>
      </w:r>
      <w:r>
        <w:rPr>
          <w:rFonts w:eastAsia="SimSun" w:cs="Arial"/>
          <w:sz w:val="20"/>
        </w:rPr>
        <w:t xml:space="preserve">the </w:t>
      </w:r>
      <w:r w:rsidRPr="00E923D4">
        <w:rPr>
          <w:rFonts w:eastAsia="SimSun" w:cs="Arial"/>
          <w:sz w:val="20"/>
        </w:rPr>
        <w:t xml:space="preserve">PQS </w:t>
      </w:r>
      <w:r>
        <w:rPr>
          <w:rFonts w:eastAsia="SimSun" w:cs="Arial"/>
          <w:sz w:val="20"/>
        </w:rPr>
        <w:t>Agreement</w:t>
      </w:r>
    </w:p>
    <w:p w14:paraId="36A023DA" w14:textId="77777777" w:rsidR="00AA7419" w:rsidRDefault="00AA7419" w:rsidP="00AA7419">
      <w:pPr>
        <w:pStyle w:val="ColorfulList-Accent11"/>
        <w:numPr>
          <w:ilvl w:val="0"/>
          <w:numId w:val="37"/>
        </w:numPr>
        <w:overflowPunct/>
        <w:autoSpaceDE/>
        <w:autoSpaceDN/>
        <w:adjustRightInd/>
        <w:ind w:left="360"/>
        <w:contextualSpacing/>
        <w:textAlignment w:val="auto"/>
        <w:rPr>
          <w:rFonts w:eastAsia="SimSun" w:cs="Arial"/>
          <w:sz w:val="20"/>
        </w:rPr>
      </w:pPr>
      <w:proofErr w:type="gramStart"/>
      <w:r>
        <w:rPr>
          <w:rFonts w:eastAsia="SimSun" w:cs="Arial"/>
          <w:sz w:val="20"/>
        </w:rPr>
        <w:t>not</w:t>
      </w:r>
      <w:proofErr w:type="gramEnd"/>
      <w:r>
        <w:rPr>
          <w:rFonts w:eastAsia="SimSun" w:cs="Arial"/>
          <w:sz w:val="20"/>
        </w:rPr>
        <w:t xml:space="preserve"> offering a PQS Agreement for a subsequent funding period.</w:t>
      </w:r>
    </w:p>
    <w:p w14:paraId="388C4062" w14:textId="77777777" w:rsidR="00AA7419" w:rsidRPr="00454CA0" w:rsidRDefault="00AA7419" w:rsidP="00AA7419">
      <w:pPr>
        <w:pStyle w:val="ColorfulList-Accent11"/>
        <w:overflowPunct/>
        <w:autoSpaceDE/>
        <w:autoSpaceDN/>
        <w:adjustRightInd/>
        <w:ind w:left="0"/>
        <w:contextualSpacing/>
        <w:textAlignment w:val="auto"/>
        <w:rPr>
          <w:rFonts w:eastAsia="SimSun" w:cs="Arial"/>
          <w:sz w:val="16"/>
        </w:rPr>
      </w:pPr>
    </w:p>
    <w:p w14:paraId="778EBAE7" w14:textId="77777777" w:rsidR="00AA7419" w:rsidRPr="00050CA0" w:rsidRDefault="00AA7419" w:rsidP="00AA7419">
      <w:pPr>
        <w:autoSpaceDN w:val="0"/>
        <w:rPr>
          <w:rFonts w:cs="Arial"/>
          <w:sz w:val="20"/>
          <w:szCs w:val="20"/>
          <w:lang w:eastAsia="en-US"/>
        </w:rPr>
      </w:pPr>
      <w:r w:rsidRPr="00050CA0">
        <w:rPr>
          <w:rFonts w:cs="Arial"/>
          <w:sz w:val="20"/>
          <w:szCs w:val="20"/>
          <w:lang w:eastAsia="en-US"/>
        </w:rPr>
        <w:t xml:space="preserve">Furthermore the department will, among other things, consider performance under a PQS Agreement by any future applicant for a PQS Agreement or other contracts for funding of vocational education and training. This consideration extends to the conduct of persons associated with the PQS whom the department considers may have been influential in the way the PQS performed its PQS Agreement. This may include a PQS’ key personnel, such as — but not limited to — a director, chief executive officer, training manager or a significant shareholder. </w:t>
      </w:r>
    </w:p>
    <w:p w14:paraId="39A51ED0" w14:textId="77777777" w:rsidR="00AA7419" w:rsidRPr="00454CA0" w:rsidRDefault="00AA7419" w:rsidP="00AA7419">
      <w:pPr>
        <w:pStyle w:val="ColorfulList-Accent11"/>
        <w:overflowPunct/>
        <w:autoSpaceDE/>
        <w:autoSpaceDN/>
        <w:adjustRightInd/>
        <w:ind w:left="0"/>
        <w:contextualSpacing/>
        <w:textAlignment w:val="auto"/>
        <w:rPr>
          <w:rFonts w:eastAsia="SimSun" w:cs="Arial"/>
          <w:sz w:val="16"/>
        </w:rPr>
      </w:pPr>
    </w:p>
    <w:p w14:paraId="0E9BE4D0" w14:textId="77777777" w:rsidR="00AA7419" w:rsidRDefault="00AA7419" w:rsidP="00AA7419">
      <w:pPr>
        <w:pStyle w:val="ColorfulList-Accent11"/>
        <w:overflowPunct/>
        <w:autoSpaceDE/>
        <w:autoSpaceDN/>
        <w:adjustRightInd/>
        <w:ind w:left="0" w:right="-434"/>
        <w:contextualSpacing/>
        <w:textAlignment w:val="auto"/>
        <w:rPr>
          <w:rFonts w:eastAsia="SimSun" w:cs="Arial"/>
          <w:sz w:val="20"/>
        </w:rPr>
      </w:pPr>
      <w:r w:rsidRPr="00E923D4">
        <w:rPr>
          <w:rFonts w:eastAsia="SimSun" w:cs="Arial"/>
          <w:sz w:val="20"/>
        </w:rPr>
        <w:t>The department will also undertake performance reviews of qualifications</w:t>
      </w:r>
      <w:r w:rsidRPr="008147FC">
        <w:rPr>
          <w:rFonts w:eastAsia="SimSun" w:cs="Arial"/>
          <w:sz w:val="20"/>
        </w:rPr>
        <w:t xml:space="preserve">, </w:t>
      </w:r>
      <w:r w:rsidRPr="00E923D4">
        <w:rPr>
          <w:rFonts w:eastAsia="SimSun" w:cs="Arial"/>
          <w:sz w:val="20"/>
        </w:rPr>
        <w:t>based on an assessment of risk in high enrolment and investment areas, which may lead to changes to the funding terms and conditions for these qualifications such as the level of government subsidy availabl</w:t>
      </w:r>
      <w:r>
        <w:rPr>
          <w:rFonts w:eastAsia="SimSun" w:cs="Arial"/>
          <w:sz w:val="20"/>
        </w:rPr>
        <w:t xml:space="preserve">e, </w:t>
      </w:r>
      <w:r w:rsidRPr="00E923D4">
        <w:rPr>
          <w:rFonts w:eastAsia="SimSun" w:cs="Arial"/>
          <w:sz w:val="20"/>
        </w:rPr>
        <w:t>which will impact on PQS</w:t>
      </w:r>
      <w:r>
        <w:rPr>
          <w:rFonts w:eastAsia="SimSun" w:cs="Arial"/>
          <w:sz w:val="20"/>
        </w:rPr>
        <w:t>.</w:t>
      </w:r>
    </w:p>
    <w:p w14:paraId="0DA5AB79" w14:textId="77777777" w:rsidR="00AA7419" w:rsidRDefault="00AA7419" w:rsidP="00AA7419">
      <w:pPr>
        <w:pStyle w:val="ColorfulList-Accent11"/>
        <w:overflowPunct/>
        <w:autoSpaceDE/>
        <w:autoSpaceDN/>
        <w:adjustRightInd/>
        <w:ind w:left="0" w:right="-434"/>
        <w:contextualSpacing/>
        <w:textAlignment w:val="auto"/>
        <w:rPr>
          <w:rStyle w:val="Header1policyChar"/>
        </w:rPr>
      </w:pPr>
    </w:p>
    <w:p w14:paraId="27B0055E" w14:textId="77777777" w:rsidR="00AA7419" w:rsidRDefault="00AA7419" w:rsidP="00AA7419">
      <w:pPr>
        <w:rPr>
          <w:rStyle w:val="Header1policyChar"/>
          <w:rFonts w:eastAsia="MS Mincho"/>
        </w:rPr>
      </w:pPr>
      <w:r>
        <w:rPr>
          <w:rStyle w:val="Header1policyChar"/>
          <w:rFonts w:eastAsia="MS Mincho"/>
        </w:rPr>
        <w:br w:type="page"/>
      </w:r>
    </w:p>
    <w:p w14:paraId="26CABAC5" w14:textId="77777777" w:rsidR="00AA7419" w:rsidRPr="00650238" w:rsidRDefault="00AA7419" w:rsidP="00AA7419">
      <w:pPr>
        <w:pStyle w:val="ColorfulList-Accent11"/>
        <w:overflowPunct/>
        <w:autoSpaceDE/>
        <w:autoSpaceDN/>
        <w:adjustRightInd/>
        <w:ind w:left="0" w:right="-434"/>
        <w:contextualSpacing/>
        <w:textAlignment w:val="auto"/>
      </w:pPr>
      <w:r w:rsidRPr="00454CA0">
        <w:rPr>
          <w:rStyle w:val="Header1policyChar"/>
        </w:rPr>
        <w:lastRenderedPageBreak/>
        <w:t>Appendix 1</w:t>
      </w:r>
      <w:r>
        <w:rPr>
          <w:rStyle w:val="Header1policyChar"/>
        </w:rPr>
        <w:t>:</w:t>
      </w:r>
      <w:r w:rsidRPr="00454CA0">
        <w:rPr>
          <w:rStyle w:val="Header1policyChar"/>
          <w:rFonts w:eastAsiaTheme="minorEastAsia" w:hint="eastAsia"/>
        </w:rPr>
        <w:t xml:space="preserve"> </w:t>
      </w:r>
      <w:r w:rsidRPr="00454CA0">
        <w:rPr>
          <w:rStyle w:val="Header1policyChar"/>
        </w:rPr>
        <w:t>Co-contribution fee</w:t>
      </w:r>
      <w:r w:rsidRPr="00650238">
        <w:t xml:space="preserve">  </w:t>
      </w:r>
    </w:p>
    <w:p w14:paraId="286F8798" w14:textId="77777777" w:rsidR="00AA7419" w:rsidRPr="00E923D4" w:rsidRDefault="00AA7419" w:rsidP="00C46F02">
      <w:pPr>
        <w:pStyle w:val="AppendixNumberedText1"/>
        <w:numPr>
          <w:ilvl w:val="0"/>
          <w:numId w:val="41"/>
        </w:numPr>
        <w:ind w:left="357" w:hanging="357"/>
        <w:jc w:val="left"/>
      </w:pPr>
      <w:r w:rsidRPr="00E923D4">
        <w:t>Co-contribution is a key principle of the Queensland Government’s VET investment framework, in recognition that the benefits of training are shared between individuals, industry and the broader community.</w:t>
      </w:r>
    </w:p>
    <w:p w14:paraId="0F7BD4A0" w14:textId="77777777" w:rsidR="00AA7419" w:rsidRPr="00E923D4" w:rsidRDefault="00AA7419" w:rsidP="00C46F02">
      <w:pPr>
        <w:pStyle w:val="AppendixNumberedText1"/>
        <w:numPr>
          <w:ilvl w:val="0"/>
          <w:numId w:val="41"/>
        </w:numPr>
        <w:ind w:left="357" w:hanging="357"/>
        <w:jc w:val="left"/>
      </w:pPr>
      <w:r w:rsidRPr="00E923D4">
        <w:t>The Queensland Government supports deregulated pricing arrangements, where government determines the level of subsidy available as a public contribution to the cost of training for a qualification, and the PQS determines the level of fees that will apply based on their offering and negotiation with individuals and/or employers/industry, referred to as the co-contribution fee.</w:t>
      </w:r>
    </w:p>
    <w:p w14:paraId="2A242422" w14:textId="77777777" w:rsidR="00AA7419" w:rsidRPr="00E923D4" w:rsidRDefault="00AA7419" w:rsidP="00C46F02">
      <w:pPr>
        <w:pStyle w:val="AppendixNumberedText1"/>
        <w:numPr>
          <w:ilvl w:val="0"/>
          <w:numId w:val="41"/>
        </w:numPr>
        <w:ind w:left="357" w:hanging="357"/>
        <w:jc w:val="left"/>
      </w:pPr>
      <w:r w:rsidRPr="00E923D4">
        <w:t>There are a number of circumstances where PQS will not be able to, or not be required to</w:t>
      </w:r>
      <w:r>
        <w:t xml:space="preserve">, </w:t>
      </w:r>
      <w:r w:rsidRPr="00E923D4">
        <w:t>charge a co-contribution fee and these are detailed in the relevant program policies or guidelines</w:t>
      </w:r>
      <w:r>
        <w:t xml:space="preserve"> and this policy</w:t>
      </w:r>
      <w:r w:rsidRPr="00E923D4">
        <w:t>.</w:t>
      </w:r>
    </w:p>
    <w:p w14:paraId="3B3A1A52" w14:textId="77777777" w:rsidR="00AA7419" w:rsidRPr="00E923D4" w:rsidRDefault="00AA7419" w:rsidP="00C46F02">
      <w:pPr>
        <w:pStyle w:val="AppendixNumberedText1"/>
        <w:numPr>
          <w:ilvl w:val="0"/>
          <w:numId w:val="41"/>
        </w:numPr>
        <w:ind w:left="357" w:hanging="357"/>
        <w:jc w:val="left"/>
      </w:pPr>
      <w:r w:rsidRPr="00E923D4">
        <w:t>PQS may have different offerings for the same qualification. These offerings may arise because of different delivery modes (</w:t>
      </w:r>
      <w:r>
        <w:rPr>
          <w:rFonts w:eastAsiaTheme="minorEastAsia" w:hint="eastAsia"/>
          <w:lang w:eastAsia="zh-CN"/>
        </w:rPr>
        <w:t xml:space="preserve">such as </w:t>
      </w:r>
      <w:r w:rsidRPr="00E923D4">
        <w:t>face-to-face</w:t>
      </w:r>
      <w:r>
        <w:rPr>
          <w:rFonts w:eastAsiaTheme="minorEastAsia" w:hint="eastAsia"/>
          <w:lang w:eastAsia="zh-CN"/>
        </w:rPr>
        <w:t xml:space="preserve"> and</w:t>
      </w:r>
      <w:r w:rsidRPr="00E923D4">
        <w:t xml:space="preserve"> online), delivery locations (</w:t>
      </w:r>
      <w:r>
        <w:t xml:space="preserve">such as </w:t>
      </w:r>
      <w:r w:rsidRPr="00E923D4">
        <w:t>regional</w:t>
      </w:r>
      <w:r>
        <w:rPr>
          <w:rFonts w:eastAsiaTheme="minorEastAsia" w:hint="eastAsia"/>
          <w:lang w:eastAsia="zh-CN"/>
        </w:rPr>
        <w:t xml:space="preserve"> and</w:t>
      </w:r>
      <w:r w:rsidRPr="00E923D4">
        <w:t xml:space="preserve"> South</w:t>
      </w:r>
      <w:r>
        <w:t xml:space="preserve"> </w:t>
      </w:r>
      <w:r w:rsidRPr="00E923D4">
        <w:t xml:space="preserve">East Queensland) or other factors such as vocational/work placement or high-cost electives. PQS may charge a different co-contribution fee for each offering. </w:t>
      </w:r>
    </w:p>
    <w:p w14:paraId="768EBE18" w14:textId="77777777" w:rsidR="00AA7419" w:rsidRPr="00E923D4" w:rsidRDefault="00AA7419" w:rsidP="00C46F02">
      <w:pPr>
        <w:pStyle w:val="AppendixNumberedText1"/>
        <w:numPr>
          <w:ilvl w:val="0"/>
          <w:numId w:val="41"/>
        </w:numPr>
        <w:ind w:left="357" w:hanging="357"/>
        <w:jc w:val="left"/>
      </w:pPr>
      <w:r w:rsidRPr="00E923D4">
        <w:t xml:space="preserve">The co-contribution fee charged for a qualification or offering must represent the </w:t>
      </w:r>
      <w:r w:rsidRPr="00F25078">
        <w:rPr>
          <w:b/>
        </w:rPr>
        <w:t>total cost</w:t>
      </w:r>
      <w:r w:rsidRPr="00E923D4">
        <w:t xml:space="preserve"> to the student and include any enrolment charges (</w:t>
      </w:r>
      <w:r>
        <w:rPr>
          <w:rFonts w:eastAsiaTheme="minorEastAsia" w:hint="eastAsia"/>
          <w:lang w:eastAsia="zh-CN"/>
        </w:rPr>
        <w:t xml:space="preserve">such as </w:t>
      </w:r>
      <w:r w:rsidRPr="00E923D4">
        <w:t>identification card</w:t>
      </w:r>
      <w:r>
        <w:rPr>
          <w:rFonts w:eastAsiaTheme="minorEastAsia" w:hint="eastAsia"/>
          <w:lang w:eastAsia="zh-CN"/>
        </w:rPr>
        <w:t xml:space="preserve"> charges</w:t>
      </w:r>
      <w:r w:rsidRPr="00E923D4">
        <w:t>), tuition fees, services fees, materials fees and all other costs associated with delivering the training and assessment services and awarding the qualification</w:t>
      </w:r>
      <w:r>
        <w:rPr>
          <w:rFonts w:eastAsiaTheme="minorEastAsia" w:hint="eastAsia"/>
          <w:lang w:eastAsia="zh-CN"/>
        </w:rPr>
        <w:t>. This includes costs associated with</w:t>
      </w:r>
      <w:r>
        <w:t xml:space="preserve"> criminal history check</w:t>
      </w:r>
      <w:r>
        <w:rPr>
          <w:rFonts w:eastAsiaTheme="minorEastAsia" w:hint="eastAsia"/>
          <w:lang w:eastAsia="zh-CN"/>
        </w:rPr>
        <w:t>s</w:t>
      </w:r>
      <w:r>
        <w:t xml:space="preserve"> which may be a prerequisite for vocational placement and employment in certain occupations</w:t>
      </w:r>
      <w:r w:rsidRPr="00E923D4">
        <w:t>.</w:t>
      </w:r>
    </w:p>
    <w:p w14:paraId="1F20EC81" w14:textId="77777777" w:rsidR="00AA7419" w:rsidRPr="00E923D4" w:rsidRDefault="00AA7419" w:rsidP="00C46F02">
      <w:pPr>
        <w:pStyle w:val="AppendixNumberedText1"/>
        <w:numPr>
          <w:ilvl w:val="0"/>
          <w:numId w:val="41"/>
        </w:numPr>
        <w:ind w:left="357" w:hanging="357"/>
        <w:jc w:val="left"/>
      </w:pPr>
      <w:r w:rsidRPr="00E923D4">
        <w:t xml:space="preserve">The PQS must disclose upfront concessional and non-concessional fees and clearly publish and label them on its website as the co-contribution fee, along with all pertinent information about the offering. This allows prospective students to be clearly informed of all fee costs and able to compare fees for a qualification across different PQS. The PQS must also provide prospective students with a copy of, or access to, its refund policy prior to enrolment.  </w:t>
      </w:r>
    </w:p>
    <w:p w14:paraId="0BAE5C03" w14:textId="77777777" w:rsidR="00AA7419" w:rsidRPr="00E923D4" w:rsidRDefault="00AA7419" w:rsidP="00C46F02">
      <w:pPr>
        <w:pStyle w:val="AppendixNumberedText1"/>
        <w:numPr>
          <w:ilvl w:val="0"/>
          <w:numId w:val="41"/>
        </w:numPr>
        <w:ind w:left="357" w:hanging="357"/>
        <w:jc w:val="left"/>
      </w:pPr>
      <w:r w:rsidRPr="00E923D4">
        <w:t xml:space="preserve">Where the PQS must collect a co-contribution fee, it may be paid on behalf of the student by </w:t>
      </w:r>
      <w:r>
        <w:t>an</w:t>
      </w:r>
      <w:r w:rsidRPr="00E923D4">
        <w:t xml:space="preserve"> employer or third party</w:t>
      </w:r>
      <w:r>
        <w:t xml:space="preserve"> unrelated to the PQS</w:t>
      </w:r>
      <w:r w:rsidRPr="00E923D4">
        <w:t>, but cannot be paid or waived by the PQS</w:t>
      </w:r>
      <w:r>
        <w:t xml:space="preserve"> </w:t>
      </w:r>
      <w:r w:rsidRPr="002D47DF">
        <w:t>(</w:t>
      </w:r>
      <w:r>
        <w:t>whether directly or indirectly), unless approved in writing by the department</w:t>
      </w:r>
      <w:r w:rsidRPr="00E923D4">
        <w:t>.</w:t>
      </w:r>
    </w:p>
    <w:p w14:paraId="6C45B782" w14:textId="77777777" w:rsidR="00AA7419" w:rsidRPr="00E923D4" w:rsidRDefault="00AA7419" w:rsidP="00C46F02">
      <w:pPr>
        <w:pStyle w:val="AppendixNumberedText1"/>
        <w:numPr>
          <w:ilvl w:val="0"/>
          <w:numId w:val="41"/>
        </w:numPr>
        <w:ind w:left="357" w:hanging="357"/>
        <w:jc w:val="left"/>
      </w:pPr>
      <w:r w:rsidRPr="00E923D4">
        <w:t xml:space="preserve">The PQS must charge and collect the fee at the unit of competency level, so that fees for units of competency add up to the total co-contribution fee published by the PQS. The unit of competency fee must be either the total fee divided by the units of competency payable for the qualification (with the exception of competencies assigned an outcome code of 60 or 65, see </w:t>
      </w:r>
      <w:r w:rsidRPr="00E923D4">
        <w:rPr>
          <w:b/>
        </w:rPr>
        <w:t>Table 4</w:t>
      </w:r>
      <w:r w:rsidRPr="00E923D4">
        <w:t>)</w:t>
      </w:r>
      <w:r>
        <w:t>,</w:t>
      </w:r>
      <w:r w:rsidRPr="00E923D4">
        <w:t xml:space="preserve"> or be assigned proportionally based on the relative length of the competencies</w:t>
      </w:r>
      <w:r>
        <w:t>.</w:t>
      </w:r>
      <w:r w:rsidRPr="00E923D4">
        <w:t xml:space="preserve">  </w:t>
      </w:r>
    </w:p>
    <w:p w14:paraId="4BC18E9B" w14:textId="77777777" w:rsidR="00AA7419" w:rsidRPr="00E306BF" w:rsidRDefault="00AA7419" w:rsidP="00C46F02">
      <w:pPr>
        <w:pStyle w:val="AppendixNumberedText1"/>
        <w:numPr>
          <w:ilvl w:val="0"/>
          <w:numId w:val="41"/>
        </w:numPr>
        <w:ind w:left="357" w:hanging="357"/>
        <w:jc w:val="left"/>
      </w:pPr>
      <w:r w:rsidRPr="00E923D4">
        <w:t>The PQS must retain evidence of co-contribution fees charged and collected. It must report to the department, via its VET activity data submission for each student, the fees collected per unit of competency</w:t>
      </w:r>
      <w:r>
        <w:t xml:space="preserve"> </w:t>
      </w:r>
      <w:r w:rsidRPr="00E306BF">
        <w:t>—</w:t>
      </w:r>
      <w:r w:rsidRPr="00E306BF">
        <w:rPr>
          <w:rFonts w:hint="eastAsia"/>
        </w:rPr>
        <w:t xml:space="preserve"> with</w:t>
      </w:r>
      <w:r>
        <w:t xml:space="preserve"> fees reported in whole dollar values for each unit</w:t>
      </w:r>
      <w:r w:rsidRPr="00E923D4">
        <w:t>. Fees collected must be reported to the department regardless of who pays the fee on behalf of the student.</w:t>
      </w:r>
    </w:p>
    <w:p w14:paraId="2797C716" w14:textId="77777777" w:rsidR="00AA7419" w:rsidRPr="00B3765B" w:rsidRDefault="00AA7419" w:rsidP="00C46F02">
      <w:pPr>
        <w:pStyle w:val="AppendixNumberedText1"/>
        <w:numPr>
          <w:ilvl w:val="0"/>
          <w:numId w:val="41"/>
        </w:numPr>
        <w:ind w:left="357" w:hanging="357"/>
        <w:jc w:val="left"/>
      </w:pPr>
      <w:r>
        <w:t xml:space="preserve">PQS must not refund, waive, return payment, or provide a cash payment, or bonus either by way of ‘referral fee’ or otherwise to any </w:t>
      </w:r>
      <w:proofErr w:type="spellStart"/>
      <w:r>
        <w:t>payer</w:t>
      </w:r>
      <w:proofErr w:type="spellEnd"/>
      <w:r>
        <w:t xml:space="preserve"> of the co-contribution fee (including third parties) or fail to collect the co-contribution fee except as provided for in the relevant program policy.  </w:t>
      </w:r>
    </w:p>
    <w:p w14:paraId="7125DDFD" w14:textId="1E811D3A" w:rsidR="00AA7419" w:rsidRDefault="00AA7419" w:rsidP="00C46F02">
      <w:pPr>
        <w:pStyle w:val="AppendixNumberedText1"/>
        <w:numPr>
          <w:ilvl w:val="0"/>
          <w:numId w:val="41"/>
        </w:numPr>
        <w:ind w:left="357" w:hanging="357"/>
        <w:jc w:val="left"/>
      </w:pPr>
      <w:r w:rsidRPr="00E923D4">
        <w:t xml:space="preserve">A student’s eligibility for concessional status must be confirmed by the PQS at the time of the student’s enrolment and evidence must be retained by the PQS in order to attract the higher government subsidy. The intent of the higher government subsidy is to enable the PQS to reduce the co-contribution fee and/or provide </w:t>
      </w:r>
      <w:r>
        <w:t>increased</w:t>
      </w:r>
      <w:r w:rsidRPr="00E923D4">
        <w:t xml:space="preserve"> learning support for the concessional (disadvantaged) student. For specific priority population groups who are granted concessional status under a program</w:t>
      </w:r>
      <w:r>
        <w:rPr>
          <w:rFonts w:eastAsiaTheme="minorEastAsia" w:hint="eastAsia"/>
          <w:lang w:eastAsia="zh-CN"/>
        </w:rPr>
        <w:t>,</w:t>
      </w:r>
      <w:r w:rsidRPr="00E923D4">
        <w:t xml:space="preserve"> such as people with disability, PQS must ensure the student meets the cohort definition as per the AVETMIS </w:t>
      </w:r>
      <w:r>
        <w:t>S</w:t>
      </w:r>
      <w:r w:rsidRPr="00E923D4">
        <w:t>tandard.</w:t>
      </w:r>
    </w:p>
    <w:p w14:paraId="5A4AF26A" w14:textId="13ED35C2" w:rsidR="00C46F02" w:rsidRDefault="00C46F02" w:rsidP="00C46F02">
      <w:pPr>
        <w:pStyle w:val="AppendixNumberedText1"/>
        <w:numPr>
          <w:ilvl w:val="0"/>
          <w:numId w:val="0"/>
        </w:numPr>
        <w:ind w:left="357"/>
        <w:jc w:val="left"/>
      </w:pPr>
    </w:p>
    <w:p w14:paraId="0E340409" w14:textId="65EE4930" w:rsidR="00C46F02" w:rsidRDefault="00C46F02" w:rsidP="00C46F02">
      <w:pPr>
        <w:pStyle w:val="AppendixNumberedText1"/>
        <w:numPr>
          <w:ilvl w:val="0"/>
          <w:numId w:val="0"/>
        </w:numPr>
        <w:ind w:left="357"/>
        <w:jc w:val="left"/>
      </w:pPr>
    </w:p>
    <w:p w14:paraId="017A9168" w14:textId="49A67AD2" w:rsidR="00C46F02" w:rsidRDefault="00C46F02" w:rsidP="00C46F02">
      <w:pPr>
        <w:pStyle w:val="AppendixNumberedText1"/>
        <w:numPr>
          <w:ilvl w:val="0"/>
          <w:numId w:val="0"/>
        </w:numPr>
        <w:ind w:left="357"/>
        <w:jc w:val="left"/>
      </w:pPr>
    </w:p>
    <w:p w14:paraId="12C2A747" w14:textId="41AED4A3" w:rsidR="00C46F02" w:rsidRDefault="00C46F02" w:rsidP="00C46F02">
      <w:pPr>
        <w:pStyle w:val="AppendixNumberedText1"/>
        <w:numPr>
          <w:ilvl w:val="0"/>
          <w:numId w:val="0"/>
        </w:numPr>
        <w:ind w:left="357"/>
        <w:jc w:val="left"/>
      </w:pPr>
    </w:p>
    <w:p w14:paraId="6B203F70" w14:textId="77777777" w:rsidR="00C46F02" w:rsidRDefault="00C46F02" w:rsidP="00C46F02">
      <w:pPr>
        <w:pStyle w:val="AppendixNumberedText1"/>
        <w:numPr>
          <w:ilvl w:val="0"/>
          <w:numId w:val="0"/>
        </w:numPr>
        <w:ind w:left="357"/>
        <w:jc w:val="left"/>
      </w:pPr>
    </w:p>
    <w:p w14:paraId="503AA9FF" w14:textId="77777777" w:rsidR="00AA7419" w:rsidRPr="00E923D4" w:rsidRDefault="00AA7419" w:rsidP="00C46F02">
      <w:pPr>
        <w:pStyle w:val="AppendixNumberedText1"/>
        <w:numPr>
          <w:ilvl w:val="0"/>
          <w:numId w:val="41"/>
        </w:numPr>
        <w:spacing w:after="120"/>
        <w:ind w:left="363" w:hanging="357"/>
        <w:jc w:val="left"/>
      </w:pPr>
      <w:bookmarkStart w:id="2" w:name="_Toc373481415"/>
      <w:r w:rsidRPr="00E923D4">
        <w:lastRenderedPageBreak/>
        <w:t xml:space="preserve">Co-contribution fees cannot be charged for: </w:t>
      </w:r>
    </w:p>
    <w:p w14:paraId="75986D3B" w14:textId="77777777" w:rsidR="00AA7419" w:rsidRPr="00E923D4" w:rsidRDefault="00AA7419" w:rsidP="00AA7419">
      <w:pPr>
        <w:pStyle w:val="AppendixNumberedText1"/>
        <w:numPr>
          <w:ilvl w:val="0"/>
          <w:numId w:val="35"/>
        </w:numPr>
        <w:spacing w:before="0" w:after="120"/>
        <w:ind w:left="720" w:hanging="357"/>
        <w:jc w:val="left"/>
      </w:pPr>
      <w:r w:rsidRPr="00E923D4">
        <w:t>outcome 60 (credit transfer)</w:t>
      </w:r>
    </w:p>
    <w:p w14:paraId="73A36937" w14:textId="77777777" w:rsidR="00AA7419" w:rsidRPr="007E2A0B" w:rsidRDefault="00AA7419" w:rsidP="00AA7419">
      <w:pPr>
        <w:pStyle w:val="AppendixNumberedText1"/>
        <w:numPr>
          <w:ilvl w:val="0"/>
          <w:numId w:val="35"/>
        </w:numPr>
        <w:tabs>
          <w:tab w:val="left" w:pos="720"/>
        </w:tabs>
        <w:spacing w:before="0" w:after="120"/>
        <w:ind w:left="720" w:hanging="357"/>
        <w:jc w:val="left"/>
        <w:rPr>
          <w:bCs/>
        </w:rPr>
      </w:pPr>
      <w:r w:rsidRPr="007E2A0B">
        <w:t xml:space="preserve">outcome 65 (transitional gap training) — when transitioning a student from a superseded qualification to the new qualification and a completed unit of competency is identified during the mapping process as similar but not equivalent between the superseded qualification and new qualification, therefore gap training </w:t>
      </w:r>
      <w:r>
        <w:t xml:space="preserve">and assessment </w:t>
      </w:r>
      <w:r w:rsidRPr="007E2A0B">
        <w:t xml:space="preserve">is required; </w:t>
      </w:r>
      <w:r w:rsidRPr="007E2A0B">
        <w:rPr>
          <w:bCs/>
        </w:rPr>
        <w:t>or when a student has completed a unit of competency and the competency has been superseded and is similar but not equivalent</w:t>
      </w:r>
      <w:r>
        <w:rPr>
          <w:bCs/>
        </w:rPr>
        <w:t>,</w:t>
      </w:r>
      <w:r w:rsidRPr="007E2A0B">
        <w:rPr>
          <w:bCs/>
        </w:rPr>
        <w:t xml:space="preserve"> therefore gap training </w:t>
      </w:r>
      <w:r>
        <w:rPr>
          <w:bCs/>
        </w:rPr>
        <w:t xml:space="preserve">and assessment </w:t>
      </w:r>
      <w:r w:rsidRPr="007E2A0B">
        <w:rPr>
          <w:bCs/>
        </w:rPr>
        <w:t>is required (however the qualification code remains the same)</w:t>
      </w:r>
    </w:p>
    <w:p w14:paraId="5F085BB0" w14:textId="77777777" w:rsidR="00AA7419" w:rsidRPr="00E923D4" w:rsidRDefault="00AA7419" w:rsidP="00AA7419">
      <w:pPr>
        <w:pStyle w:val="AppendixNumberedText1"/>
        <w:numPr>
          <w:ilvl w:val="0"/>
          <w:numId w:val="35"/>
        </w:numPr>
        <w:spacing w:before="0"/>
        <w:ind w:left="720"/>
        <w:jc w:val="left"/>
      </w:pPr>
      <w:proofErr w:type="gramStart"/>
      <w:r w:rsidRPr="00E923D4">
        <w:t>student</w:t>
      </w:r>
      <w:proofErr w:type="gramEnd"/>
      <w:r w:rsidRPr="00E923D4">
        <w:t xml:space="preserve"> cohorts exempt from paying fees as specified in the relevant program policy or guidelines.</w:t>
      </w:r>
    </w:p>
    <w:bookmarkEnd w:id="2"/>
    <w:p w14:paraId="7C36A294" w14:textId="77777777" w:rsidR="00AA7419" w:rsidRPr="00E923D4" w:rsidRDefault="00AA7419" w:rsidP="00C46F02">
      <w:pPr>
        <w:pStyle w:val="AppendixNumberedText1"/>
        <w:numPr>
          <w:ilvl w:val="0"/>
          <w:numId w:val="41"/>
        </w:numPr>
        <w:ind w:left="357" w:hanging="357"/>
        <w:jc w:val="left"/>
      </w:pPr>
      <w:r w:rsidRPr="00E923D4">
        <w:t>Cost recovery — atypical and minor charges by PQS are permitted on a cost</w:t>
      </w:r>
      <w:r>
        <w:t>-</w:t>
      </w:r>
      <w:r w:rsidRPr="00E923D4">
        <w:t xml:space="preserve">recovery basis for services </w:t>
      </w:r>
      <w:r>
        <w:t xml:space="preserve">that </w:t>
      </w:r>
      <w:r w:rsidRPr="00E923D4">
        <w:t>are not required for the standard delivery of training and assessment services</w:t>
      </w:r>
      <w:r w:rsidRPr="005B7246">
        <w:rPr>
          <w:rFonts w:eastAsiaTheme="minorEastAsia" w:hint="eastAsia"/>
          <w:lang w:eastAsia="zh-CN"/>
        </w:rPr>
        <w:t>,</w:t>
      </w:r>
      <w:r w:rsidRPr="00E923D4">
        <w:t xml:space="preserve"> and awarding of a qualification. This would apply if a qualification has to be reissued — the PQS (or department if applicable) may charge the student for this service on a cost</w:t>
      </w:r>
      <w:r>
        <w:t>-</w:t>
      </w:r>
      <w:r w:rsidRPr="00E923D4">
        <w:t>recovery basis.</w:t>
      </w:r>
    </w:p>
    <w:p w14:paraId="5707F922" w14:textId="77777777" w:rsidR="00AA7419" w:rsidRPr="00E923D4" w:rsidRDefault="00AA7419" w:rsidP="00AA7419">
      <w:pPr>
        <w:pStyle w:val="AppendixNumberedText1"/>
        <w:numPr>
          <w:ilvl w:val="0"/>
          <w:numId w:val="0"/>
        </w:numPr>
        <w:spacing w:before="0"/>
        <w:ind w:left="360"/>
        <w:jc w:val="left"/>
      </w:pPr>
    </w:p>
    <w:p w14:paraId="67ED6072" w14:textId="77777777" w:rsidR="00AA7419" w:rsidRDefault="00AA7419" w:rsidP="00AA7419">
      <w:pPr>
        <w:pStyle w:val="ColorfulList-Accent11"/>
        <w:rPr>
          <w:rFonts w:cs="Arial"/>
          <w:sz w:val="20"/>
        </w:rPr>
      </w:pPr>
    </w:p>
    <w:p w14:paraId="1899E01D" w14:textId="77777777" w:rsidR="00AA7419" w:rsidRPr="00650238" w:rsidRDefault="00AA7419" w:rsidP="00AA7419">
      <w:pPr>
        <w:pStyle w:val="Header1policy"/>
        <w:numPr>
          <w:ilvl w:val="0"/>
          <w:numId w:val="0"/>
        </w:numPr>
        <w:ind w:left="360" w:hanging="360"/>
        <w:outlineLvl w:val="0"/>
      </w:pPr>
      <w:r w:rsidRPr="005362B6">
        <w:br w:type="page"/>
      </w:r>
    </w:p>
    <w:p w14:paraId="6237852F" w14:textId="77777777" w:rsidR="00AA7419" w:rsidRPr="00650238" w:rsidRDefault="00AA7419" w:rsidP="00AA7419">
      <w:pPr>
        <w:pStyle w:val="Header1policy"/>
        <w:numPr>
          <w:ilvl w:val="0"/>
          <w:numId w:val="0"/>
        </w:numPr>
        <w:ind w:left="360" w:hanging="360"/>
        <w:outlineLvl w:val="0"/>
        <w:rPr>
          <w:rFonts w:eastAsiaTheme="minorEastAsia"/>
        </w:rPr>
      </w:pPr>
      <w:r w:rsidRPr="00650238">
        <w:lastRenderedPageBreak/>
        <w:t xml:space="preserve">Appendix </w:t>
      </w:r>
      <w:r>
        <w:t>2:</w:t>
      </w:r>
      <w:r w:rsidRPr="00650238">
        <w:rPr>
          <w:rFonts w:eastAsiaTheme="minorEastAsia" w:hint="eastAsia"/>
        </w:rPr>
        <w:t xml:space="preserve"> Records maintenance and variation requests</w:t>
      </w:r>
    </w:p>
    <w:p w14:paraId="06FD5550" w14:textId="77777777" w:rsidR="00AA7419" w:rsidRPr="00CF757E" w:rsidRDefault="00AA7419" w:rsidP="00AA7419">
      <w:pPr>
        <w:ind w:left="360"/>
        <w:rPr>
          <w:rFonts w:cs="Arial"/>
          <w:b/>
          <w:sz w:val="24"/>
        </w:rPr>
      </w:pPr>
    </w:p>
    <w:p w14:paraId="3FBE8D7E" w14:textId="77777777" w:rsidR="00AA7419" w:rsidRPr="00650238" w:rsidRDefault="00AA7419" w:rsidP="00AA7419">
      <w:pPr>
        <w:pStyle w:val="Heading2"/>
        <w:spacing w:before="0"/>
        <w:rPr>
          <w:i/>
          <w:sz w:val="24"/>
        </w:rPr>
      </w:pPr>
      <w:r w:rsidRPr="00650238">
        <w:rPr>
          <w:sz w:val="24"/>
        </w:rPr>
        <w:t>Records maintenance</w:t>
      </w:r>
    </w:p>
    <w:p w14:paraId="19035E22" w14:textId="77777777" w:rsidR="00AA7419" w:rsidRPr="00C46F02" w:rsidRDefault="00AA7419" w:rsidP="00AA7419">
      <w:pPr>
        <w:tabs>
          <w:tab w:val="num" w:pos="2700"/>
        </w:tabs>
        <w:rPr>
          <w:rFonts w:cs="Arial"/>
          <w:sz w:val="20"/>
          <w:szCs w:val="20"/>
        </w:rPr>
      </w:pPr>
      <w:r w:rsidRPr="00C46F02">
        <w:rPr>
          <w:rFonts w:cs="Arial"/>
          <w:sz w:val="20"/>
          <w:szCs w:val="20"/>
        </w:rPr>
        <w:t xml:space="preserve">The PQS is responsible for ensuring the accuracy and currency of information held by the department relating to its business details, contact information and the qualifications it is approved to deliver as listed on its departmental delivery schedule(s) or relevant approval for a program.  </w:t>
      </w:r>
    </w:p>
    <w:p w14:paraId="313EF859" w14:textId="77777777" w:rsidR="00AA7419" w:rsidRPr="00C46F02" w:rsidRDefault="00AA7419" w:rsidP="00AA7419">
      <w:pPr>
        <w:tabs>
          <w:tab w:val="num" w:pos="2700"/>
        </w:tabs>
        <w:rPr>
          <w:rFonts w:cs="Arial"/>
          <w:sz w:val="20"/>
          <w:szCs w:val="20"/>
        </w:rPr>
      </w:pPr>
    </w:p>
    <w:p w14:paraId="57CA386F" w14:textId="77777777" w:rsidR="00AA7419" w:rsidRPr="00C46F02" w:rsidRDefault="00AA7419" w:rsidP="00AA7419">
      <w:pPr>
        <w:tabs>
          <w:tab w:val="num" w:pos="2700"/>
        </w:tabs>
        <w:rPr>
          <w:rFonts w:cs="Arial"/>
          <w:sz w:val="20"/>
          <w:szCs w:val="20"/>
        </w:rPr>
      </w:pPr>
      <w:r w:rsidRPr="00C46F02">
        <w:rPr>
          <w:sz w:val="20"/>
          <w:szCs w:val="20"/>
        </w:rPr>
        <w:t xml:space="preserve">For any RTO not listed on the Australian Stock Exchange, this includes notifying and obtaining the consent in writing of the department </w:t>
      </w:r>
      <w:r w:rsidRPr="00C46F02">
        <w:rPr>
          <w:b/>
          <w:iCs/>
          <w:sz w:val="20"/>
          <w:szCs w:val="20"/>
        </w:rPr>
        <w:t>prior</w:t>
      </w:r>
      <w:r w:rsidRPr="00C46F02">
        <w:rPr>
          <w:b/>
          <w:sz w:val="20"/>
          <w:szCs w:val="20"/>
        </w:rPr>
        <w:t xml:space="preserve"> to</w:t>
      </w:r>
      <w:r w:rsidRPr="00C46F02">
        <w:rPr>
          <w:sz w:val="20"/>
          <w:szCs w:val="20"/>
        </w:rPr>
        <w:t xml:space="preserve"> any anticipated change of ownership or change in control being effected (including any changes to senior officer appointments</w:t>
      </w:r>
      <w:r w:rsidRPr="00C46F02">
        <w:rPr>
          <w:rFonts w:eastAsiaTheme="minorEastAsia" w:hint="eastAsia"/>
          <w:sz w:val="20"/>
          <w:szCs w:val="20"/>
          <w:lang w:eastAsia="zh-CN"/>
        </w:rPr>
        <w:t>,</w:t>
      </w:r>
      <w:r w:rsidRPr="00C46F02">
        <w:rPr>
          <w:sz w:val="20"/>
          <w:szCs w:val="20"/>
        </w:rPr>
        <w:t xml:space="preserve"> such as chief executive officer, director, manager or shareholders) to ensure your compliance with the existing PQS Agreement. This means that any notice to the department received after the date of the relevant change will not only impact on the department’s ability to make any payments due, but may be a significant breach of the PQS Agreement and the department may have the right to terminate. See the PQS Agreement </w:t>
      </w:r>
      <w:r w:rsidRPr="00C46F02">
        <w:rPr>
          <w:sz w:val="20"/>
          <w:szCs w:val="20"/>
        </w:rPr>
        <w:br/>
        <w:t>clause 25 and the notification of change to a PQS’ legal entity fact sheet.</w:t>
      </w:r>
    </w:p>
    <w:p w14:paraId="03E3ECD2" w14:textId="77777777" w:rsidR="00AA7419" w:rsidRPr="00C46F02" w:rsidRDefault="00AA7419" w:rsidP="00AA7419">
      <w:pPr>
        <w:tabs>
          <w:tab w:val="num" w:pos="2700"/>
        </w:tabs>
        <w:rPr>
          <w:rFonts w:cs="Arial"/>
          <w:sz w:val="20"/>
          <w:szCs w:val="20"/>
        </w:rPr>
      </w:pPr>
    </w:p>
    <w:p w14:paraId="5A00D661" w14:textId="5B8DDBB3" w:rsidR="00AA7419" w:rsidRPr="00C46F02" w:rsidRDefault="00AA7419" w:rsidP="00AA7419">
      <w:pPr>
        <w:tabs>
          <w:tab w:val="num" w:pos="2700"/>
        </w:tabs>
        <w:rPr>
          <w:rFonts w:cs="Arial"/>
          <w:sz w:val="20"/>
          <w:szCs w:val="20"/>
        </w:rPr>
      </w:pPr>
      <w:r w:rsidRPr="00C46F02">
        <w:rPr>
          <w:rFonts w:cs="Arial"/>
          <w:sz w:val="20"/>
          <w:szCs w:val="20"/>
        </w:rPr>
        <w:t xml:space="preserve">To update business details or contact information, the PQS must contact their assigned departmental contract manager in the Contract Management and Performance team via email at </w:t>
      </w:r>
      <w:hyperlink r:id="rId15" w:history="1">
        <w:r w:rsidR="00A4622D" w:rsidRPr="003D0D24">
          <w:rPr>
            <w:rStyle w:val="Hyperlink"/>
            <w:rFonts w:cs="Arial"/>
            <w:sz w:val="20"/>
            <w:szCs w:val="20"/>
          </w:rPr>
          <w:t>contractmanagement@desbt.qld.gov.au</w:t>
        </w:r>
      </w:hyperlink>
      <w:r w:rsidR="00A4622D">
        <w:rPr>
          <w:rFonts w:cs="Arial"/>
          <w:sz w:val="20"/>
          <w:szCs w:val="20"/>
        </w:rPr>
        <w:t xml:space="preserve"> </w:t>
      </w:r>
      <w:r w:rsidRPr="00C46F02">
        <w:rPr>
          <w:rFonts w:cs="Arial"/>
          <w:sz w:val="20"/>
          <w:szCs w:val="20"/>
        </w:rPr>
        <w:t>or telephone (07) 3</w:t>
      </w:r>
      <w:r w:rsidR="00A4622D">
        <w:rPr>
          <w:rFonts w:cs="Arial"/>
          <w:sz w:val="20"/>
          <w:szCs w:val="20"/>
        </w:rPr>
        <w:t>025 6689</w:t>
      </w:r>
      <w:r w:rsidRPr="00C46F02">
        <w:rPr>
          <w:rFonts w:cs="Arial"/>
          <w:sz w:val="20"/>
          <w:szCs w:val="20"/>
        </w:rPr>
        <w:t xml:space="preserve">.  </w:t>
      </w:r>
    </w:p>
    <w:p w14:paraId="7B124321" w14:textId="77777777" w:rsidR="00AA7419" w:rsidRPr="00520C94" w:rsidRDefault="00AA7419" w:rsidP="00AA7419">
      <w:pPr>
        <w:tabs>
          <w:tab w:val="num" w:pos="2700"/>
        </w:tabs>
        <w:rPr>
          <w:rFonts w:cs="Arial"/>
          <w:b/>
        </w:rPr>
      </w:pPr>
    </w:p>
    <w:p w14:paraId="06A63377" w14:textId="77777777" w:rsidR="00AA7419" w:rsidRPr="00650238" w:rsidRDefault="00AA7419" w:rsidP="00AA7419">
      <w:pPr>
        <w:pStyle w:val="Heading2"/>
        <w:spacing w:before="0"/>
        <w:rPr>
          <w:i/>
          <w:sz w:val="24"/>
        </w:rPr>
      </w:pPr>
      <w:r w:rsidRPr="00650238">
        <w:rPr>
          <w:sz w:val="24"/>
        </w:rPr>
        <w:t>Variation requests</w:t>
      </w:r>
    </w:p>
    <w:p w14:paraId="3111140E" w14:textId="77777777" w:rsidR="00AA7419" w:rsidRPr="005362B6" w:rsidRDefault="00AA7419" w:rsidP="00AA7419">
      <w:pPr>
        <w:tabs>
          <w:tab w:val="num" w:pos="2700"/>
        </w:tabs>
        <w:rPr>
          <w:rFonts w:cs="Arial"/>
          <w:sz w:val="16"/>
          <w:szCs w:val="16"/>
        </w:rPr>
      </w:pPr>
    </w:p>
    <w:p w14:paraId="773B1CEC" w14:textId="64CA16BE" w:rsidR="00AA7419" w:rsidRPr="00C46F02" w:rsidRDefault="00AA7419" w:rsidP="00AA7419">
      <w:pPr>
        <w:tabs>
          <w:tab w:val="num" w:pos="2700"/>
        </w:tabs>
        <w:rPr>
          <w:rFonts w:cs="Arial"/>
          <w:sz w:val="20"/>
          <w:szCs w:val="20"/>
        </w:rPr>
      </w:pPr>
      <w:r w:rsidRPr="00C46F02">
        <w:rPr>
          <w:rFonts w:cs="Arial"/>
          <w:sz w:val="20"/>
          <w:szCs w:val="20"/>
        </w:rPr>
        <w:t xml:space="preserve">For requests to add or remove qualification(s) on a delivery schedule, including any superseding qualifications, a PQS must apply for these variations online through the variations online (VOL) function, which is a part of the department’s purchasing online (POL) system. PQS can access POL at </w:t>
      </w:r>
      <w:hyperlink r:id="rId16" w:history="1">
        <w:r w:rsidR="00A4622D" w:rsidRPr="003D0D24">
          <w:rPr>
            <w:rStyle w:val="Hyperlink"/>
            <w:rFonts w:cs="Arial"/>
            <w:sz w:val="20"/>
            <w:szCs w:val="20"/>
          </w:rPr>
          <w:t>www.trainandemploy.qld.gov.au/tol</w:t>
        </w:r>
      </w:hyperlink>
      <w:r w:rsidRPr="00C46F02">
        <w:rPr>
          <w:rStyle w:val="Hyperlink"/>
          <w:rFonts w:cs="Arial"/>
          <w:sz w:val="20"/>
          <w:szCs w:val="20"/>
        </w:rPr>
        <w:t>.</w:t>
      </w:r>
      <w:r w:rsidRPr="00C46F02">
        <w:rPr>
          <w:rFonts w:cs="Arial"/>
          <w:sz w:val="20"/>
          <w:szCs w:val="20"/>
        </w:rPr>
        <w:t xml:space="preserve"> </w:t>
      </w:r>
    </w:p>
    <w:p w14:paraId="31D180A6" w14:textId="77777777" w:rsidR="00AA7419" w:rsidRPr="00C46F02" w:rsidRDefault="00AA7419" w:rsidP="00AA7419">
      <w:pPr>
        <w:tabs>
          <w:tab w:val="num" w:pos="2700"/>
        </w:tabs>
        <w:rPr>
          <w:rFonts w:cs="Arial"/>
          <w:sz w:val="20"/>
          <w:szCs w:val="20"/>
        </w:rPr>
      </w:pPr>
    </w:p>
    <w:p w14:paraId="4D411DF8" w14:textId="77777777" w:rsidR="00AA7419" w:rsidRPr="00C46F02" w:rsidRDefault="00AA7419" w:rsidP="00AA7419">
      <w:pPr>
        <w:tabs>
          <w:tab w:val="num" w:pos="2700"/>
        </w:tabs>
        <w:rPr>
          <w:rFonts w:cs="Arial"/>
          <w:sz w:val="20"/>
          <w:szCs w:val="20"/>
        </w:rPr>
      </w:pPr>
      <w:r w:rsidRPr="00C46F02">
        <w:rPr>
          <w:rFonts w:cs="Arial"/>
          <w:sz w:val="20"/>
          <w:szCs w:val="20"/>
        </w:rPr>
        <w:t xml:space="preserve">If a PQS requests a qualification within an industry area not already on its Delivery Schedule, the PQS will be required to provide evidence of a minimum of six (6) months delivery of training and assessment services in Queensland in the vocational qualification or industry area being applied for in the variation. Additionally, evidence of employer and industry support will also need to be supplied. </w:t>
      </w:r>
    </w:p>
    <w:p w14:paraId="56279FBD" w14:textId="77777777" w:rsidR="00AA7419" w:rsidRPr="00C46F02" w:rsidRDefault="00AA7419" w:rsidP="00AA7419">
      <w:pPr>
        <w:tabs>
          <w:tab w:val="num" w:pos="2700"/>
        </w:tabs>
        <w:rPr>
          <w:rFonts w:cs="Arial"/>
          <w:sz w:val="20"/>
          <w:szCs w:val="20"/>
        </w:rPr>
      </w:pPr>
    </w:p>
    <w:p w14:paraId="4927FE09" w14:textId="77777777" w:rsidR="00AA7419" w:rsidRPr="00C46F02" w:rsidRDefault="00AA7419" w:rsidP="00AA7419">
      <w:pPr>
        <w:tabs>
          <w:tab w:val="num" w:pos="2700"/>
        </w:tabs>
        <w:rPr>
          <w:rFonts w:cs="Arial"/>
          <w:sz w:val="20"/>
          <w:szCs w:val="20"/>
        </w:rPr>
      </w:pPr>
      <w:r w:rsidRPr="00C46F02">
        <w:rPr>
          <w:rFonts w:cs="Arial"/>
          <w:sz w:val="20"/>
          <w:szCs w:val="20"/>
        </w:rPr>
        <w:t>PQS should note that qualifications are not automatically added to or removed from a delivery schedule and all additions or removals must be actioned by the PQS via VOL. A PQS can only commence training in a new or superseding qualification as at the date approved by the department and variations will not be backdated by the department.</w:t>
      </w:r>
    </w:p>
    <w:p w14:paraId="1E497A16" w14:textId="77777777" w:rsidR="00AA7419" w:rsidRPr="005362B6" w:rsidRDefault="00AA7419" w:rsidP="00AA7419">
      <w:pPr>
        <w:tabs>
          <w:tab w:val="num" w:pos="2700"/>
        </w:tabs>
        <w:ind w:left="357"/>
        <w:rPr>
          <w:rFonts w:cs="Arial"/>
          <w:szCs w:val="22"/>
        </w:rPr>
      </w:pPr>
    </w:p>
    <w:p w14:paraId="03DD572B" w14:textId="77777777" w:rsidR="00AA7419" w:rsidRPr="00650238" w:rsidRDefault="00AA7419" w:rsidP="00AA7419">
      <w:pPr>
        <w:pStyle w:val="Header1policy"/>
        <w:numPr>
          <w:ilvl w:val="0"/>
          <w:numId w:val="0"/>
        </w:numPr>
        <w:ind w:left="360" w:hanging="360"/>
        <w:outlineLvl w:val="0"/>
      </w:pPr>
      <w:r w:rsidRPr="005362B6">
        <w:rPr>
          <w:i/>
          <w:sz w:val="21"/>
          <w:szCs w:val="21"/>
        </w:rPr>
        <w:br w:type="page"/>
      </w:r>
      <w:r w:rsidRPr="00650238">
        <w:lastRenderedPageBreak/>
        <w:t xml:space="preserve">Appendix </w:t>
      </w:r>
      <w:r>
        <w:t>3:</w:t>
      </w:r>
      <w:r w:rsidRPr="00650238">
        <w:rPr>
          <w:rFonts w:eastAsiaTheme="minorEastAsia" w:hint="eastAsia"/>
          <w:lang w:eastAsia="zh-CN"/>
        </w:rPr>
        <w:t xml:space="preserve"> </w:t>
      </w:r>
      <w:r w:rsidRPr="00650238">
        <w:t xml:space="preserve">Reporting conditions </w:t>
      </w:r>
    </w:p>
    <w:p w14:paraId="212E8BC9" w14:textId="77777777" w:rsidR="00AA7419" w:rsidRPr="00C46F02" w:rsidRDefault="00AA7419" w:rsidP="00A4622D">
      <w:pPr>
        <w:spacing w:before="120"/>
        <w:rPr>
          <w:rFonts w:cs="Arial"/>
          <w:sz w:val="20"/>
          <w:szCs w:val="20"/>
        </w:rPr>
      </w:pPr>
      <w:r w:rsidRPr="00C46F02">
        <w:rPr>
          <w:rFonts w:cs="Arial"/>
          <w:sz w:val="20"/>
          <w:szCs w:val="20"/>
        </w:rPr>
        <w:t>To make a claim for payment to the department for any training and assessment services delivered, a PQS must provide an electronic data submission to the department utilising a current AVETMISS compliant student management system. It is the responsibility of the PQS to ensure its student management system is compliant against the most current AVETMISS release and Queensland state requirements.</w:t>
      </w:r>
    </w:p>
    <w:p w14:paraId="768B09B5" w14:textId="77777777" w:rsidR="00AA7419" w:rsidRPr="00C46F02" w:rsidRDefault="00AA7419" w:rsidP="00A4622D">
      <w:pPr>
        <w:spacing w:before="120"/>
        <w:rPr>
          <w:rFonts w:cs="Arial"/>
          <w:sz w:val="20"/>
          <w:szCs w:val="20"/>
        </w:rPr>
      </w:pPr>
      <w:r w:rsidRPr="00C46F02">
        <w:rPr>
          <w:rFonts w:cs="Arial"/>
          <w:sz w:val="20"/>
          <w:szCs w:val="20"/>
        </w:rPr>
        <w:t>Additionally, the PQS must provide any qualitative reports, which may be a requirement under a program, to the department by the required due date (including reports against key performance indicators).</w:t>
      </w:r>
    </w:p>
    <w:p w14:paraId="5C2288DA" w14:textId="77777777" w:rsidR="00AA7419" w:rsidRPr="00C46F02" w:rsidRDefault="00AA7419" w:rsidP="00A4622D">
      <w:pPr>
        <w:spacing w:before="120"/>
        <w:rPr>
          <w:rFonts w:cs="Arial"/>
          <w:color w:val="000000"/>
          <w:sz w:val="20"/>
          <w:szCs w:val="20"/>
        </w:rPr>
      </w:pPr>
      <w:r w:rsidRPr="00C46F02">
        <w:rPr>
          <w:rFonts w:cs="Arial"/>
          <w:color w:val="000000"/>
          <w:sz w:val="20"/>
          <w:szCs w:val="20"/>
        </w:rPr>
        <w:t xml:space="preserve">When reporting training and assessment services to </w:t>
      </w:r>
      <w:r w:rsidRPr="00C46F02">
        <w:rPr>
          <w:rFonts w:cs="Arial"/>
          <w:sz w:val="20"/>
          <w:szCs w:val="20"/>
        </w:rPr>
        <w:t>the department</w:t>
      </w:r>
      <w:r w:rsidRPr="00C46F02">
        <w:rPr>
          <w:rFonts w:cs="Arial"/>
          <w:color w:val="000000"/>
          <w:sz w:val="20"/>
          <w:szCs w:val="20"/>
        </w:rPr>
        <w:t>, the PQS must:</w:t>
      </w:r>
    </w:p>
    <w:p w14:paraId="0BD14D50" w14:textId="77777777" w:rsidR="00AA7419" w:rsidRPr="00E923D4" w:rsidRDefault="00AA7419" w:rsidP="00A4622D">
      <w:pPr>
        <w:pStyle w:val="ColorfulList-Accent11"/>
        <w:numPr>
          <w:ilvl w:val="0"/>
          <w:numId w:val="33"/>
        </w:numPr>
        <w:overflowPunct/>
        <w:autoSpaceDE/>
        <w:autoSpaceDN/>
        <w:adjustRightInd/>
        <w:spacing w:before="120"/>
        <w:ind w:left="357" w:hanging="357"/>
        <w:textAlignment w:val="auto"/>
        <w:rPr>
          <w:rFonts w:cs="Arial"/>
          <w:sz w:val="20"/>
        </w:rPr>
      </w:pPr>
      <w:proofErr w:type="gramStart"/>
      <w:r w:rsidRPr="00E923D4">
        <w:rPr>
          <w:rFonts w:cs="Arial"/>
          <w:sz w:val="20"/>
        </w:rPr>
        <w:t>provide</w:t>
      </w:r>
      <w:proofErr w:type="gramEnd"/>
      <w:r w:rsidRPr="00E923D4">
        <w:rPr>
          <w:rFonts w:cs="Arial"/>
          <w:sz w:val="20"/>
        </w:rPr>
        <w:t xml:space="preserve"> an electronic data submission utilising an AVETMISS compliant student management system that complies with the current AVETMISS release and Queensland state requirements</w:t>
      </w:r>
      <w:r>
        <w:rPr>
          <w:rFonts w:cs="Arial"/>
          <w:sz w:val="20"/>
        </w:rPr>
        <w:t xml:space="preserve">. </w:t>
      </w:r>
      <w:r>
        <w:rPr>
          <w:rFonts w:cs="Arial"/>
          <w:sz w:val="20"/>
        </w:rPr>
        <w:br/>
        <w:t xml:space="preserve">It is compulsory that the PQS use DET Connect to upload/submit VET activity data.  </w:t>
      </w:r>
    </w:p>
    <w:p w14:paraId="5E7EB842" w14:textId="77777777" w:rsidR="00AA7419" w:rsidRPr="00E923D4" w:rsidRDefault="00AA7419" w:rsidP="00A4622D">
      <w:pPr>
        <w:pStyle w:val="ColorfulList-Accent11"/>
        <w:numPr>
          <w:ilvl w:val="0"/>
          <w:numId w:val="33"/>
        </w:numPr>
        <w:spacing w:before="120"/>
        <w:ind w:left="357" w:hanging="357"/>
        <w:rPr>
          <w:rFonts w:cs="Arial"/>
          <w:sz w:val="20"/>
        </w:rPr>
      </w:pPr>
      <w:proofErr w:type="gramStart"/>
      <w:r w:rsidRPr="00E923D4">
        <w:rPr>
          <w:rFonts w:cs="Arial"/>
          <w:sz w:val="20"/>
        </w:rPr>
        <w:t>submit</w:t>
      </w:r>
      <w:proofErr w:type="gramEnd"/>
      <w:r w:rsidRPr="00E923D4">
        <w:rPr>
          <w:rFonts w:cs="Arial"/>
          <w:sz w:val="20"/>
        </w:rPr>
        <w:t xml:space="preserve"> VET activity data on or before the last working day of each month;</w:t>
      </w:r>
      <w:r>
        <w:rPr>
          <w:rFonts w:cs="Arial"/>
          <w:sz w:val="20"/>
        </w:rPr>
        <w:t xml:space="preserve"> </w:t>
      </w:r>
      <w:r w:rsidRPr="00E923D4">
        <w:rPr>
          <w:rFonts w:cs="Arial"/>
          <w:sz w:val="20"/>
        </w:rPr>
        <w:t>for TAFE Queensland, data is to be submitted by the 15th day of each month (to assist the department to manage the high volume of data)</w:t>
      </w:r>
      <w:r>
        <w:rPr>
          <w:rFonts w:cs="Arial"/>
          <w:sz w:val="20"/>
        </w:rPr>
        <w:t>.</w:t>
      </w:r>
    </w:p>
    <w:p w14:paraId="5D1A9ED5" w14:textId="77777777" w:rsidR="00AA7419" w:rsidRPr="00CC00BF" w:rsidRDefault="00AA7419" w:rsidP="00A4622D">
      <w:pPr>
        <w:pStyle w:val="ColorfulList-Accent11"/>
        <w:numPr>
          <w:ilvl w:val="0"/>
          <w:numId w:val="33"/>
        </w:numPr>
        <w:overflowPunct/>
        <w:autoSpaceDE/>
        <w:autoSpaceDN/>
        <w:adjustRightInd/>
        <w:spacing w:before="120"/>
        <w:ind w:left="357" w:hanging="357"/>
        <w:textAlignment w:val="auto"/>
        <w:rPr>
          <w:rFonts w:cs="Arial"/>
          <w:sz w:val="20"/>
        </w:rPr>
      </w:pPr>
      <w:r w:rsidRPr="007E1EAD">
        <w:rPr>
          <w:rFonts w:cs="Arial"/>
          <w:sz w:val="20"/>
        </w:rPr>
        <w:t>submit accurate and complia</w:t>
      </w:r>
      <w:r w:rsidRPr="00CC00BF">
        <w:rPr>
          <w:rFonts w:cs="Arial"/>
          <w:sz w:val="20"/>
        </w:rPr>
        <w:t>nt VET activity data in accordance with the following timelines:</w:t>
      </w:r>
    </w:p>
    <w:p w14:paraId="614C430B" w14:textId="77777777" w:rsidR="00AA7419" w:rsidRPr="00E923D4" w:rsidRDefault="00AA7419" w:rsidP="00AA7419">
      <w:pPr>
        <w:pStyle w:val="ColorfulList-Accent11"/>
        <w:numPr>
          <w:ilvl w:val="0"/>
          <w:numId w:val="32"/>
        </w:numPr>
        <w:contextualSpacing/>
        <w:rPr>
          <w:rFonts w:cs="Arial"/>
          <w:color w:val="000000"/>
          <w:sz w:val="20"/>
        </w:rPr>
      </w:pPr>
      <w:r w:rsidRPr="00E923D4">
        <w:rPr>
          <w:rFonts w:cs="Arial"/>
          <w:color w:val="000000"/>
          <w:sz w:val="20"/>
        </w:rPr>
        <w:t xml:space="preserve">report enrolments within </w:t>
      </w:r>
      <w:r w:rsidRPr="00E923D4">
        <w:rPr>
          <w:rFonts w:cs="Arial"/>
          <w:b/>
          <w:color w:val="000000"/>
          <w:sz w:val="20"/>
        </w:rPr>
        <w:t>30 days</w:t>
      </w:r>
      <w:r w:rsidRPr="00E923D4">
        <w:rPr>
          <w:rFonts w:cs="Arial"/>
          <w:color w:val="000000"/>
          <w:sz w:val="20"/>
        </w:rPr>
        <w:t xml:space="preserve"> of the unit of competency enrolment </w:t>
      </w:r>
    </w:p>
    <w:p w14:paraId="45B4EBE4" w14:textId="77777777" w:rsidR="00AA7419" w:rsidRPr="00E923D4" w:rsidRDefault="00AA7419" w:rsidP="00AA7419">
      <w:pPr>
        <w:pStyle w:val="ColorfulList-Accent11"/>
        <w:numPr>
          <w:ilvl w:val="0"/>
          <w:numId w:val="32"/>
        </w:numPr>
        <w:contextualSpacing/>
        <w:rPr>
          <w:rFonts w:cs="Arial"/>
          <w:color w:val="000000"/>
          <w:sz w:val="20"/>
        </w:rPr>
      </w:pPr>
      <w:proofErr w:type="gramStart"/>
      <w:r w:rsidRPr="00E923D4">
        <w:rPr>
          <w:rFonts w:cs="Arial"/>
          <w:color w:val="000000"/>
          <w:sz w:val="20"/>
        </w:rPr>
        <w:t>report</w:t>
      </w:r>
      <w:proofErr w:type="gramEnd"/>
      <w:r w:rsidRPr="00E923D4">
        <w:rPr>
          <w:rFonts w:cs="Arial"/>
          <w:color w:val="000000"/>
          <w:sz w:val="20"/>
        </w:rPr>
        <w:t xml:space="preserve"> outcomes within </w:t>
      </w:r>
      <w:r w:rsidRPr="00E923D4">
        <w:rPr>
          <w:rFonts w:cs="Arial"/>
          <w:b/>
          <w:color w:val="000000"/>
          <w:sz w:val="20"/>
        </w:rPr>
        <w:t>30 days</w:t>
      </w:r>
      <w:r w:rsidRPr="00E923D4">
        <w:rPr>
          <w:rFonts w:cs="Arial"/>
          <w:color w:val="000000"/>
          <w:sz w:val="20"/>
        </w:rPr>
        <w:t xml:space="preserve"> of completion of the unit of competency</w:t>
      </w:r>
      <w:r>
        <w:rPr>
          <w:rFonts w:cs="Arial"/>
          <w:color w:val="000000"/>
          <w:sz w:val="20"/>
        </w:rPr>
        <w:t>.</w:t>
      </w:r>
      <w:r w:rsidRPr="00E923D4">
        <w:rPr>
          <w:rFonts w:cs="Arial"/>
          <w:color w:val="000000"/>
          <w:sz w:val="20"/>
        </w:rPr>
        <w:t xml:space="preserve"> </w:t>
      </w:r>
    </w:p>
    <w:p w14:paraId="1661742D" w14:textId="77777777" w:rsidR="00AA7419" w:rsidRPr="00E923D4" w:rsidRDefault="00AA7419" w:rsidP="00A4622D">
      <w:pPr>
        <w:pStyle w:val="ColorfulList-Accent11"/>
        <w:numPr>
          <w:ilvl w:val="0"/>
          <w:numId w:val="33"/>
        </w:numPr>
        <w:overflowPunct/>
        <w:autoSpaceDE/>
        <w:autoSpaceDN/>
        <w:adjustRightInd/>
        <w:spacing w:before="120"/>
        <w:ind w:left="357" w:hanging="357"/>
        <w:textAlignment w:val="auto"/>
        <w:rPr>
          <w:rFonts w:cs="Arial"/>
          <w:sz w:val="20"/>
        </w:rPr>
      </w:pPr>
      <w:r w:rsidRPr="00E923D4">
        <w:rPr>
          <w:rFonts w:cs="Arial"/>
          <w:sz w:val="20"/>
        </w:rPr>
        <w:t>report for each student, compliant VET activity data that contains complete and correct information against all relevant fields specified for the applicable AVETMISS and Queensland state requirements as superseded, amended or replaced from time to time</w:t>
      </w:r>
      <w:r>
        <w:rPr>
          <w:rFonts w:eastAsiaTheme="minorEastAsia" w:cs="Arial" w:hint="eastAsia"/>
          <w:sz w:val="20"/>
          <w:lang w:eastAsia="zh-CN"/>
        </w:rPr>
        <w:t>,</w:t>
      </w:r>
      <w:r w:rsidRPr="00E923D4">
        <w:rPr>
          <w:rFonts w:cs="Arial"/>
          <w:sz w:val="20"/>
        </w:rPr>
        <w:t xml:space="preserve"> including:</w:t>
      </w:r>
    </w:p>
    <w:p w14:paraId="33B2A6C2" w14:textId="77777777" w:rsidR="00AA7419" w:rsidRDefault="00AA7419" w:rsidP="00A4622D">
      <w:pPr>
        <w:pStyle w:val="ColorfulList-Accent11"/>
        <w:numPr>
          <w:ilvl w:val="0"/>
          <w:numId w:val="47"/>
        </w:numPr>
        <w:spacing w:before="40"/>
        <w:ind w:left="1077" w:hanging="357"/>
        <w:rPr>
          <w:rFonts w:cs="Arial"/>
          <w:color w:val="000000"/>
          <w:sz w:val="20"/>
        </w:rPr>
      </w:pPr>
      <w:r w:rsidRPr="00E923D4">
        <w:rPr>
          <w:rFonts w:cs="Arial"/>
          <w:color w:val="000000"/>
          <w:sz w:val="20"/>
        </w:rPr>
        <w:t xml:space="preserve">PQS </w:t>
      </w:r>
      <w:r>
        <w:rPr>
          <w:rFonts w:cs="Arial"/>
          <w:color w:val="000000"/>
          <w:sz w:val="20"/>
        </w:rPr>
        <w:t>A</w:t>
      </w:r>
      <w:r w:rsidRPr="00E923D4">
        <w:rPr>
          <w:rFonts w:cs="Arial"/>
          <w:color w:val="000000"/>
          <w:sz w:val="20"/>
        </w:rPr>
        <w:t>greement number</w:t>
      </w:r>
    </w:p>
    <w:p w14:paraId="67B43418" w14:textId="77777777" w:rsidR="00AA7419" w:rsidRPr="00D8200E" w:rsidRDefault="00AA7419" w:rsidP="00A4622D">
      <w:pPr>
        <w:pStyle w:val="ColorfulList-Accent11"/>
        <w:numPr>
          <w:ilvl w:val="0"/>
          <w:numId w:val="47"/>
        </w:numPr>
        <w:spacing w:before="40"/>
        <w:ind w:left="1077" w:hanging="357"/>
        <w:rPr>
          <w:rFonts w:cs="Arial"/>
          <w:color w:val="000000"/>
          <w:sz w:val="20"/>
        </w:rPr>
      </w:pPr>
      <w:r w:rsidRPr="00D8200E">
        <w:rPr>
          <w:rFonts w:cs="Arial"/>
          <w:color w:val="000000"/>
          <w:sz w:val="20"/>
        </w:rPr>
        <w:t>a verified Unique Student Identifier (USI)</w:t>
      </w:r>
    </w:p>
    <w:p w14:paraId="073F71D6" w14:textId="77777777" w:rsidR="00AA7419" w:rsidRDefault="00AA7419" w:rsidP="00A4622D">
      <w:pPr>
        <w:pStyle w:val="ColorfulList-Accent11"/>
        <w:numPr>
          <w:ilvl w:val="0"/>
          <w:numId w:val="47"/>
        </w:numPr>
        <w:spacing w:before="40"/>
        <w:ind w:left="1077" w:hanging="357"/>
        <w:rPr>
          <w:rFonts w:cs="Arial"/>
          <w:color w:val="000000"/>
          <w:sz w:val="20"/>
        </w:rPr>
      </w:pPr>
      <w:r>
        <w:rPr>
          <w:rFonts w:cs="Arial"/>
          <w:color w:val="000000"/>
          <w:sz w:val="20"/>
        </w:rPr>
        <w:t>date of birth</w:t>
      </w:r>
    </w:p>
    <w:p w14:paraId="27FECE8C" w14:textId="77777777" w:rsidR="00AA7419" w:rsidRDefault="00AA7419" w:rsidP="00A4622D">
      <w:pPr>
        <w:pStyle w:val="ColorfulList-Accent11"/>
        <w:numPr>
          <w:ilvl w:val="0"/>
          <w:numId w:val="47"/>
        </w:numPr>
        <w:spacing w:before="40"/>
        <w:ind w:left="1077" w:hanging="357"/>
        <w:rPr>
          <w:rFonts w:cs="Arial"/>
          <w:color w:val="000000"/>
          <w:sz w:val="20"/>
        </w:rPr>
      </w:pPr>
      <w:r>
        <w:rPr>
          <w:rFonts w:cs="Arial"/>
          <w:color w:val="000000"/>
          <w:sz w:val="20"/>
        </w:rPr>
        <w:t>complete student address and contact details</w:t>
      </w:r>
      <w:r>
        <w:rPr>
          <w:rFonts w:eastAsiaTheme="minorEastAsia" w:cs="Arial" w:hint="eastAsia"/>
          <w:color w:val="000000"/>
          <w:sz w:val="20"/>
          <w:lang w:eastAsia="zh-CN"/>
        </w:rPr>
        <w:t>,</w:t>
      </w:r>
      <w:r>
        <w:rPr>
          <w:rFonts w:cs="Arial"/>
          <w:color w:val="000000"/>
          <w:sz w:val="20"/>
        </w:rPr>
        <w:t xml:space="preserve"> including street number and name; suburb, locality or town; contact telephone number</w:t>
      </w:r>
      <w:r>
        <w:rPr>
          <w:rFonts w:eastAsiaTheme="minorEastAsia" w:cs="Arial" w:hint="eastAsia"/>
          <w:color w:val="000000"/>
          <w:sz w:val="20"/>
          <w:lang w:eastAsia="zh-CN"/>
        </w:rPr>
        <w:t>;</w:t>
      </w:r>
      <w:r>
        <w:rPr>
          <w:rFonts w:cs="Arial"/>
          <w:color w:val="000000"/>
          <w:sz w:val="20"/>
        </w:rPr>
        <w:t xml:space="preserve"> email address</w:t>
      </w:r>
    </w:p>
    <w:p w14:paraId="7546A65A" w14:textId="77777777" w:rsidR="00AA7419" w:rsidRPr="00F25078" w:rsidRDefault="00AA7419" w:rsidP="00A4622D">
      <w:pPr>
        <w:pStyle w:val="ColorfulList-Accent11"/>
        <w:numPr>
          <w:ilvl w:val="0"/>
          <w:numId w:val="47"/>
        </w:numPr>
        <w:spacing w:before="40"/>
        <w:ind w:left="1077" w:hanging="357"/>
        <w:rPr>
          <w:rFonts w:cs="Arial"/>
          <w:sz w:val="20"/>
        </w:rPr>
      </w:pPr>
      <w:r w:rsidRPr="00F25078">
        <w:rPr>
          <w:sz w:val="20"/>
        </w:rPr>
        <w:t>complete student demographic data including, but not limited to, gender, indigenous status, disability status and main language spoken</w:t>
      </w:r>
    </w:p>
    <w:p w14:paraId="3268AE34" w14:textId="77777777" w:rsidR="00AA7419" w:rsidRPr="00E923D4" w:rsidRDefault="00AA7419" w:rsidP="00A4622D">
      <w:pPr>
        <w:pStyle w:val="ColorfulList-Accent11"/>
        <w:numPr>
          <w:ilvl w:val="0"/>
          <w:numId w:val="47"/>
        </w:numPr>
        <w:spacing w:before="40"/>
        <w:ind w:left="1077" w:hanging="357"/>
        <w:rPr>
          <w:rFonts w:cs="Arial"/>
          <w:sz w:val="20"/>
        </w:rPr>
      </w:pPr>
      <w:r w:rsidRPr="00E923D4">
        <w:rPr>
          <w:rFonts w:cs="Arial"/>
          <w:color w:val="000000"/>
          <w:sz w:val="20"/>
        </w:rPr>
        <w:t xml:space="preserve">correct fund source code </w:t>
      </w:r>
      <w:r w:rsidRPr="00E923D4">
        <w:rPr>
          <w:rFonts w:cs="Arial"/>
          <w:sz w:val="20"/>
        </w:rPr>
        <w:t xml:space="preserve">(see </w:t>
      </w:r>
      <w:r w:rsidRPr="00E923D4">
        <w:rPr>
          <w:rFonts w:cs="Arial"/>
          <w:b/>
          <w:sz w:val="20"/>
        </w:rPr>
        <w:t xml:space="preserve">Table 1 </w:t>
      </w:r>
      <w:r w:rsidRPr="00E923D4">
        <w:rPr>
          <w:rFonts w:cs="Arial"/>
          <w:sz w:val="20"/>
        </w:rPr>
        <w:t xml:space="preserve">and </w:t>
      </w:r>
      <w:r w:rsidRPr="00E923D4">
        <w:rPr>
          <w:rFonts w:cs="Arial"/>
          <w:b/>
          <w:sz w:val="20"/>
        </w:rPr>
        <w:t xml:space="preserve">Table 2 </w:t>
      </w:r>
      <w:r w:rsidRPr="00E923D4">
        <w:rPr>
          <w:rFonts w:cs="Arial"/>
          <w:sz w:val="20"/>
        </w:rPr>
        <w:t>where applicable)</w:t>
      </w:r>
    </w:p>
    <w:p w14:paraId="74EFBCC1" w14:textId="77777777" w:rsidR="00AA7419" w:rsidRPr="00E923D4" w:rsidRDefault="00AA7419" w:rsidP="00A4622D">
      <w:pPr>
        <w:pStyle w:val="ColorfulList-Accent11"/>
        <w:numPr>
          <w:ilvl w:val="0"/>
          <w:numId w:val="47"/>
        </w:numPr>
        <w:spacing w:before="40"/>
        <w:ind w:left="1077" w:hanging="357"/>
        <w:rPr>
          <w:rFonts w:cs="Arial"/>
          <w:sz w:val="20"/>
        </w:rPr>
      </w:pPr>
      <w:r w:rsidRPr="00E923D4">
        <w:rPr>
          <w:rFonts w:cs="Arial"/>
          <w:color w:val="000000"/>
          <w:sz w:val="20"/>
        </w:rPr>
        <w:t xml:space="preserve">whether eligible for a concession </w:t>
      </w:r>
      <w:r w:rsidRPr="00E923D4">
        <w:rPr>
          <w:rFonts w:cs="Arial"/>
          <w:sz w:val="20"/>
        </w:rPr>
        <w:t xml:space="preserve">(see </w:t>
      </w:r>
      <w:r w:rsidRPr="00E923D4">
        <w:rPr>
          <w:rFonts w:cs="Arial"/>
          <w:b/>
          <w:sz w:val="20"/>
        </w:rPr>
        <w:t>Table 3</w:t>
      </w:r>
      <w:r w:rsidRPr="00E923D4">
        <w:rPr>
          <w:rFonts w:cs="Arial"/>
          <w:sz w:val="20"/>
        </w:rPr>
        <w:t>)</w:t>
      </w:r>
    </w:p>
    <w:p w14:paraId="2C293D56" w14:textId="77777777" w:rsidR="00AA7419" w:rsidRDefault="00AA7419" w:rsidP="00A4622D">
      <w:pPr>
        <w:pStyle w:val="ColorfulList-Accent11"/>
        <w:numPr>
          <w:ilvl w:val="0"/>
          <w:numId w:val="47"/>
        </w:numPr>
        <w:spacing w:before="40"/>
        <w:ind w:left="1077" w:hanging="357"/>
        <w:rPr>
          <w:rFonts w:cs="Arial"/>
          <w:color w:val="000000"/>
          <w:sz w:val="20"/>
        </w:rPr>
      </w:pPr>
      <w:r w:rsidRPr="00E923D4">
        <w:rPr>
          <w:rFonts w:cs="Arial"/>
          <w:color w:val="000000"/>
          <w:sz w:val="20"/>
        </w:rPr>
        <w:t>delivery mode identifier</w:t>
      </w:r>
    </w:p>
    <w:p w14:paraId="4522E495" w14:textId="77777777" w:rsidR="00AA7419" w:rsidRPr="00017BA5" w:rsidRDefault="00AA7419" w:rsidP="00A4622D">
      <w:pPr>
        <w:pStyle w:val="ColorfulList-Accent11"/>
        <w:numPr>
          <w:ilvl w:val="0"/>
          <w:numId w:val="47"/>
        </w:numPr>
        <w:spacing w:before="40"/>
        <w:ind w:left="1077" w:hanging="357"/>
        <w:rPr>
          <w:rFonts w:cs="Arial"/>
          <w:sz w:val="20"/>
        </w:rPr>
      </w:pPr>
      <w:r w:rsidRPr="00017BA5">
        <w:rPr>
          <w:rFonts w:cs="Arial"/>
          <w:sz w:val="20"/>
        </w:rPr>
        <w:t>predominant delivery mode</w:t>
      </w:r>
    </w:p>
    <w:p w14:paraId="66A807E3" w14:textId="77777777" w:rsidR="00AA7419" w:rsidRPr="00E923D4" w:rsidRDefault="00AA7419" w:rsidP="00A4622D">
      <w:pPr>
        <w:pStyle w:val="ColorfulList-Accent11"/>
        <w:numPr>
          <w:ilvl w:val="0"/>
          <w:numId w:val="47"/>
        </w:numPr>
        <w:spacing w:before="40"/>
        <w:ind w:left="1077" w:hanging="357"/>
        <w:rPr>
          <w:rFonts w:cs="Arial"/>
          <w:sz w:val="20"/>
        </w:rPr>
      </w:pPr>
      <w:r w:rsidRPr="00E923D4">
        <w:rPr>
          <w:rFonts w:cs="Arial"/>
          <w:color w:val="000000"/>
          <w:sz w:val="20"/>
        </w:rPr>
        <w:t xml:space="preserve">outcome identifier </w:t>
      </w:r>
      <w:r w:rsidRPr="00E923D4">
        <w:rPr>
          <w:rFonts w:cs="Arial"/>
          <w:sz w:val="20"/>
        </w:rPr>
        <w:t xml:space="preserve">(see </w:t>
      </w:r>
      <w:r w:rsidRPr="00E923D4">
        <w:rPr>
          <w:rFonts w:cs="Arial"/>
          <w:b/>
          <w:sz w:val="20"/>
        </w:rPr>
        <w:t>Table 4</w:t>
      </w:r>
      <w:r w:rsidRPr="00E923D4">
        <w:rPr>
          <w:rFonts w:cs="Arial"/>
          <w:sz w:val="20"/>
        </w:rPr>
        <w:t>)</w:t>
      </w:r>
    </w:p>
    <w:p w14:paraId="57436E8C" w14:textId="77777777" w:rsidR="00AA7419" w:rsidRPr="00E923D4" w:rsidRDefault="00AA7419" w:rsidP="00A4622D">
      <w:pPr>
        <w:pStyle w:val="ColorfulList-Accent11"/>
        <w:numPr>
          <w:ilvl w:val="0"/>
          <w:numId w:val="47"/>
        </w:numPr>
        <w:spacing w:before="40"/>
        <w:ind w:left="1077" w:hanging="357"/>
        <w:rPr>
          <w:rFonts w:cs="Arial"/>
          <w:color w:val="000000"/>
          <w:sz w:val="20"/>
        </w:rPr>
      </w:pPr>
      <w:r w:rsidRPr="00E923D4">
        <w:rPr>
          <w:rFonts w:cs="Arial"/>
          <w:color w:val="000000"/>
          <w:sz w:val="20"/>
        </w:rPr>
        <w:t>location postcode where training delivery predominantly took place</w:t>
      </w:r>
      <w:r>
        <w:rPr>
          <w:rFonts w:eastAsiaTheme="minorEastAsia" w:cs="Arial" w:hint="eastAsia"/>
          <w:color w:val="000000"/>
          <w:sz w:val="20"/>
          <w:lang w:eastAsia="zh-CN"/>
        </w:rPr>
        <w:t xml:space="preserve"> </w:t>
      </w:r>
      <w:r>
        <w:rPr>
          <w:rFonts w:eastAsiaTheme="minorEastAsia" w:cs="Arial"/>
          <w:color w:val="000000"/>
          <w:sz w:val="20"/>
          <w:lang w:eastAsia="zh-CN"/>
        </w:rPr>
        <w:t>—</w:t>
      </w:r>
      <w:r>
        <w:rPr>
          <w:rFonts w:eastAsiaTheme="minorEastAsia" w:cs="Arial" w:hint="eastAsia"/>
          <w:color w:val="000000"/>
          <w:sz w:val="20"/>
          <w:lang w:eastAsia="zh-CN"/>
        </w:rPr>
        <w:t xml:space="preserve"> </w:t>
      </w:r>
      <w:r w:rsidRPr="00E923D4">
        <w:rPr>
          <w:rFonts w:cs="Arial"/>
          <w:color w:val="000000"/>
          <w:sz w:val="20"/>
        </w:rPr>
        <w:t xml:space="preserve">for </w:t>
      </w:r>
      <w:r w:rsidRPr="00287ED3">
        <w:rPr>
          <w:rFonts w:cs="Arial"/>
          <w:color w:val="000000"/>
          <w:sz w:val="20"/>
        </w:rPr>
        <w:t>online delivery</w:t>
      </w:r>
      <w:r w:rsidRPr="00E923D4">
        <w:rPr>
          <w:rFonts w:cs="Arial"/>
          <w:color w:val="000000"/>
          <w:sz w:val="20"/>
        </w:rPr>
        <w:t xml:space="preserve"> the PQS must report the postcode where the training is coordinated (</w:t>
      </w:r>
      <w:r>
        <w:rPr>
          <w:rFonts w:eastAsiaTheme="minorEastAsia" w:cs="Arial" w:hint="eastAsia"/>
          <w:color w:val="000000"/>
          <w:sz w:val="20"/>
          <w:lang w:eastAsia="zh-CN"/>
        </w:rPr>
        <w:t>such as</w:t>
      </w:r>
      <w:r w:rsidRPr="00E923D4">
        <w:rPr>
          <w:rFonts w:cs="Arial"/>
          <w:color w:val="000000"/>
          <w:sz w:val="20"/>
        </w:rPr>
        <w:t xml:space="preserve"> state office), not the student location</w:t>
      </w:r>
    </w:p>
    <w:p w14:paraId="50F4DDF4" w14:textId="77777777" w:rsidR="00AA7419" w:rsidRPr="00E923D4" w:rsidRDefault="00AA7419" w:rsidP="00A4622D">
      <w:pPr>
        <w:pStyle w:val="ColorfulList-Accent11"/>
        <w:numPr>
          <w:ilvl w:val="0"/>
          <w:numId w:val="47"/>
        </w:numPr>
        <w:spacing w:before="40"/>
        <w:ind w:left="1077" w:right="-150" w:hanging="357"/>
        <w:rPr>
          <w:rFonts w:cs="Arial"/>
          <w:color w:val="000000"/>
          <w:sz w:val="20"/>
        </w:rPr>
      </w:pPr>
      <w:r w:rsidRPr="00E923D4">
        <w:rPr>
          <w:rFonts w:cs="Arial"/>
          <w:color w:val="000000"/>
          <w:sz w:val="20"/>
        </w:rPr>
        <w:t>amount of co-contribution fees collected per unit of competency (rounded to nearest dollar)</w:t>
      </w:r>
    </w:p>
    <w:p w14:paraId="5CF3C576" w14:textId="77777777" w:rsidR="00AA7419" w:rsidRPr="00E923D4" w:rsidRDefault="00AA7419" w:rsidP="00A4622D">
      <w:pPr>
        <w:pStyle w:val="ColorfulList-Accent11"/>
        <w:numPr>
          <w:ilvl w:val="0"/>
          <w:numId w:val="47"/>
        </w:numPr>
        <w:spacing w:before="40"/>
        <w:ind w:left="1077" w:hanging="357"/>
        <w:rPr>
          <w:rFonts w:cs="Arial"/>
          <w:color w:val="000000"/>
          <w:sz w:val="20"/>
        </w:rPr>
      </w:pPr>
      <w:r w:rsidRPr="00E923D4">
        <w:rPr>
          <w:rFonts w:cs="Arial"/>
          <w:color w:val="000000"/>
          <w:sz w:val="20"/>
        </w:rPr>
        <w:t>highest school level completed</w:t>
      </w:r>
      <w:r>
        <w:rPr>
          <w:rFonts w:cs="Arial"/>
          <w:color w:val="000000"/>
          <w:sz w:val="20"/>
        </w:rPr>
        <w:t xml:space="preserve"> identifier</w:t>
      </w:r>
    </w:p>
    <w:p w14:paraId="0EEB2852" w14:textId="77777777" w:rsidR="00AA7419" w:rsidRPr="00017BA5" w:rsidRDefault="00AA7419" w:rsidP="00A4622D">
      <w:pPr>
        <w:pStyle w:val="ColorfulList-Accent11"/>
        <w:numPr>
          <w:ilvl w:val="0"/>
          <w:numId w:val="47"/>
        </w:numPr>
        <w:spacing w:before="40"/>
        <w:ind w:left="1077" w:hanging="357"/>
        <w:rPr>
          <w:rFonts w:cs="Arial"/>
          <w:sz w:val="20"/>
        </w:rPr>
      </w:pPr>
      <w:r w:rsidRPr="00E923D4">
        <w:rPr>
          <w:rFonts w:cs="Arial"/>
          <w:color w:val="000000"/>
          <w:sz w:val="20"/>
        </w:rPr>
        <w:t>year highest school level completed</w:t>
      </w:r>
      <w:r>
        <w:rPr>
          <w:rFonts w:cs="Arial"/>
          <w:color w:val="000000"/>
          <w:sz w:val="20"/>
        </w:rPr>
        <w:t xml:space="preserve"> – </w:t>
      </w:r>
      <w:r w:rsidRPr="00017BA5">
        <w:rPr>
          <w:rFonts w:cs="Arial"/>
          <w:sz w:val="20"/>
        </w:rPr>
        <w:t>not applicable from AVETMISS release 8.0</w:t>
      </w:r>
    </w:p>
    <w:p w14:paraId="6E768D34" w14:textId="77777777" w:rsidR="00AA7419" w:rsidRDefault="00AA7419" w:rsidP="00A4622D">
      <w:pPr>
        <w:pStyle w:val="ColorfulList-Accent11"/>
        <w:numPr>
          <w:ilvl w:val="0"/>
          <w:numId w:val="47"/>
        </w:numPr>
        <w:spacing w:before="40"/>
        <w:ind w:left="1077" w:hanging="357"/>
        <w:rPr>
          <w:rFonts w:cs="Arial"/>
          <w:color w:val="000000"/>
          <w:sz w:val="20"/>
        </w:rPr>
      </w:pPr>
      <w:r>
        <w:rPr>
          <w:rFonts w:cs="Arial"/>
          <w:color w:val="000000"/>
          <w:sz w:val="20"/>
        </w:rPr>
        <w:t>prior educational achievement flag and identifier</w:t>
      </w:r>
    </w:p>
    <w:p w14:paraId="551405AA" w14:textId="77777777" w:rsidR="00AA7419" w:rsidRDefault="00AA7419" w:rsidP="00A4622D">
      <w:pPr>
        <w:pStyle w:val="ColorfulList-Accent11"/>
        <w:numPr>
          <w:ilvl w:val="0"/>
          <w:numId w:val="47"/>
        </w:numPr>
        <w:spacing w:before="40"/>
        <w:ind w:left="1077" w:hanging="357"/>
        <w:rPr>
          <w:rFonts w:cs="Arial"/>
          <w:color w:val="000000"/>
          <w:sz w:val="20"/>
        </w:rPr>
      </w:pPr>
      <w:r w:rsidRPr="00947111">
        <w:rPr>
          <w:rFonts w:cs="Arial"/>
          <w:color w:val="000000"/>
          <w:sz w:val="20"/>
        </w:rPr>
        <w:t>VET in schools flag (if applicable)</w:t>
      </w:r>
    </w:p>
    <w:p w14:paraId="7C2A3BAC" w14:textId="77777777" w:rsidR="00AA7419" w:rsidRPr="00A4622D" w:rsidRDefault="00AA7419" w:rsidP="00A4622D">
      <w:pPr>
        <w:pStyle w:val="ListParagraph0"/>
        <w:numPr>
          <w:ilvl w:val="0"/>
          <w:numId w:val="47"/>
        </w:numPr>
        <w:spacing w:before="40" w:after="0" w:line="240" w:lineRule="auto"/>
        <w:ind w:left="1077" w:hanging="357"/>
        <w:rPr>
          <w:rFonts w:cs="Arial"/>
          <w:sz w:val="20"/>
          <w:szCs w:val="20"/>
        </w:rPr>
      </w:pPr>
      <w:r w:rsidRPr="00A4622D">
        <w:rPr>
          <w:rFonts w:cs="Arial"/>
          <w:sz w:val="20"/>
          <w:szCs w:val="20"/>
        </w:rPr>
        <w:t xml:space="preserve">labour force status identifier for Job Seekers either 06 or 07 as specified in AVETMISS </w:t>
      </w:r>
    </w:p>
    <w:p w14:paraId="7B402B6B" w14:textId="77777777" w:rsidR="00AA7419" w:rsidRPr="00A4622D" w:rsidRDefault="00AA7419" w:rsidP="00A4622D">
      <w:pPr>
        <w:pStyle w:val="ListParagraph0"/>
        <w:numPr>
          <w:ilvl w:val="0"/>
          <w:numId w:val="47"/>
        </w:numPr>
        <w:spacing w:before="40" w:after="0" w:line="240" w:lineRule="auto"/>
        <w:ind w:left="1077" w:hanging="357"/>
        <w:rPr>
          <w:rFonts w:cs="Arial"/>
          <w:sz w:val="20"/>
          <w:szCs w:val="20"/>
        </w:rPr>
      </w:pPr>
      <w:r w:rsidRPr="00A4622D">
        <w:rPr>
          <w:rFonts w:cs="Arial"/>
          <w:sz w:val="20"/>
          <w:szCs w:val="20"/>
        </w:rPr>
        <w:t>labour force status identifier for Existing Workers either 01, 02, 03, 04 or 05 as specified in AVETMISS</w:t>
      </w:r>
    </w:p>
    <w:p w14:paraId="67CEA47A" w14:textId="77777777" w:rsidR="00AA7419" w:rsidRPr="00E923D4" w:rsidRDefault="00AA7419" w:rsidP="00A4622D">
      <w:pPr>
        <w:pStyle w:val="ColorfulList-Accent11"/>
        <w:numPr>
          <w:ilvl w:val="0"/>
          <w:numId w:val="47"/>
        </w:numPr>
        <w:spacing w:before="40"/>
        <w:ind w:left="1077" w:hanging="357"/>
        <w:rPr>
          <w:rFonts w:cs="Arial"/>
          <w:sz w:val="20"/>
        </w:rPr>
      </w:pPr>
      <w:r w:rsidRPr="00E923D4">
        <w:rPr>
          <w:rFonts w:cs="Arial"/>
          <w:color w:val="000000"/>
          <w:sz w:val="20"/>
        </w:rPr>
        <w:t xml:space="preserve">actual hours of training and assessment delivered where the student has engaged in the learning activity and withdrawn from the unit of competency prior to completion </w:t>
      </w:r>
      <w:r w:rsidRPr="00E923D4">
        <w:rPr>
          <w:rFonts w:cs="Arial"/>
          <w:sz w:val="20"/>
        </w:rPr>
        <w:t xml:space="preserve">(see </w:t>
      </w:r>
      <w:r>
        <w:rPr>
          <w:rFonts w:cs="Arial"/>
          <w:sz w:val="20"/>
        </w:rPr>
        <w:br/>
      </w:r>
      <w:r w:rsidRPr="00E923D4">
        <w:rPr>
          <w:rFonts w:cs="Arial"/>
          <w:b/>
          <w:sz w:val="20"/>
        </w:rPr>
        <w:t>Table 4</w:t>
      </w:r>
      <w:r w:rsidRPr="00E923D4">
        <w:rPr>
          <w:rFonts w:cs="Arial"/>
          <w:sz w:val="20"/>
        </w:rPr>
        <w:t>)</w:t>
      </w:r>
    </w:p>
    <w:p w14:paraId="7D88B8DA" w14:textId="77777777" w:rsidR="00AA7419" w:rsidRPr="00A61437" w:rsidRDefault="00AA7419" w:rsidP="00A4622D">
      <w:pPr>
        <w:pStyle w:val="ColorfulList-Accent11"/>
        <w:numPr>
          <w:ilvl w:val="0"/>
          <w:numId w:val="47"/>
        </w:numPr>
        <w:spacing w:before="40"/>
        <w:ind w:left="1077" w:hanging="357"/>
        <w:rPr>
          <w:rFonts w:cs="Arial"/>
          <w:color w:val="000000"/>
          <w:sz w:val="20"/>
        </w:rPr>
      </w:pPr>
      <w:r>
        <w:rPr>
          <w:rFonts w:cs="Arial"/>
          <w:color w:val="000000"/>
          <w:sz w:val="20"/>
        </w:rPr>
        <w:t xml:space="preserve">when all requirements for the successful completion of the qualification, course or skill set have been met, </w:t>
      </w:r>
      <w:r w:rsidRPr="00A61437">
        <w:rPr>
          <w:rFonts w:cs="Arial"/>
          <w:color w:val="000000"/>
          <w:sz w:val="20"/>
        </w:rPr>
        <w:t xml:space="preserve">the student </w:t>
      </w:r>
      <w:r>
        <w:rPr>
          <w:rFonts w:cs="Arial"/>
          <w:color w:val="000000"/>
          <w:sz w:val="20"/>
        </w:rPr>
        <w:t>must be reported in the Program Completed file (NAT130); until the certificate is issued to the student — t</w:t>
      </w:r>
      <w:r w:rsidRPr="00A61437">
        <w:rPr>
          <w:rFonts w:cs="Arial"/>
          <w:color w:val="000000"/>
          <w:sz w:val="20"/>
        </w:rPr>
        <w:t xml:space="preserve">he </w:t>
      </w:r>
      <w:r>
        <w:rPr>
          <w:rFonts w:cs="Arial"/>
          <w:color w:val="000000"/>
          <w:sz w:val="20"/>
        </w:rPr>
        <w:t>‘</w:t>
      </w:r>
      <w:r w:rsidRPr="00A61437">
        <w:rPr>
          <w:rFonts w:cs="Arial"/>
          <w:color w:val="000000"/>
          <w:sz w:val="20"/>
        </w:rPr>
        <w:t>issued flag</w:t>
      </w:r>
      <w:r>
        <w:rPr>
          <w:rFonts w:cs="Arial"/>
          <w:color w:val="000000"/>
          <w:sz w:val="20"/>
        </w:rPr>
        <w:t>’</w:t>
      </w:r>
      <w:r w:rsidRPr="00A61437">
        <w:rPr>
          <w:rFonts w:cs="Arial"/>
          <w:color w:val="000000"/>
          <w:sz w:val="20"/>
        </w:rPr>
        <w:t xml:space="preserve"> in the </w:t>
      </w:r>
      <w:r>
        <w:rPr>
          <w:rFonts w:cs="Arial"/>
          <w:color w:val="000000"/>
          <w:sz w:val="20"/>
        </w:rPr>
        <w:t>Program Completed</w:t>
      </w:r>
      <w:r w:rsidRPr="00A61437">
        <w:rPr>
          <w:rFonts w:cs="Arial"/>
          <w:color w:val="000000"/>
          <w:sz w:val="20"/>
        </w:rPr>
        <w:t xml:space="preserve"> file </w:t>
      </w:r>
      <w:r>
        <w:rPr>
          <w:rFonts w:cs="Arial"/>
          <w:color w:val="000000"/>
          <w:sz w:val="20"/>
        </w:rPr>
        <w:t>must remain as an</w:t>
      </w:r>
      <w:r w:rsidRPr="00A61437">
        <w:rPr>
          <w:rFonts w:cs="Arial"/>
          <w:color w:val="000000"/>
          <w:sz w:val="20"/>
        </w:rPr>
        <w:t xml:space="preserve"> </w:t>
      </w:r>
      <w:r>
        <w:rPr>
          <w:rFonts w:cs="Arial"/>
          <w:color w:val="000000"/>
          <w:sz w:val="20"/>
        </w:rPr>
        <w:t>‘</w:t>
      </w:r>
      <w:r w:rsidRPr="00A61437">
        <w:rPr>
          <w:rFonts w:cs="Arial"/>
          <w:color w:val="000000"/>
          <w:sz w:val="20"/>
        </w:rPr>
        <w:t>N</w:t>
      </w:r>
      <w:r>
        <w:rPr>
          <w:rFonts w:cs="Arial"/>
          <w:color w:val="000000"/>
          <w:sz w:val="20"/>
        </w:rPr>
        <w:t>’ (Not Issued) value</w:t>
      </w:r>
    </w:p>
    <w:p w14:paraId="01288FEA" w14:textId="77777777" w:rsidR="00AA7419" w:rsidRDefault="00AA7419" w:rsidP="00A4622D">
      <w:pPr>
        <w:pStyle w:val="ColorfulList-Accent11"/>
        <w:numPr>
          <w:ilvl w:val="0"/>
          <w:numId w:val="47"/>
        </w:numPr>
        <w:spacing w:before="40"/>
        <w:ind w:left="1077" w:hanging="357"/>
        <w:rPr>
          <w:rFonts w:cs="Arial"/>
          <w:sz w:val="20"/>
        </w:rPr>
      </w:pPr>
      <w:r>
        <w:rPr>
          <w:rFonts w:cs="Arial"/>
          <w:sz w:val="20"/>
        </w:rPr>
        <w:t>when</w:t>
      </w:r>
      <w:r w:rsidRPr="00B957D8">
        <w:rPr>
          <w:rFonts w:cs="Arial"/>
          <w:sz w:val="20"/>
        </w:rPr>
        <w:t xml:space="preserve"> the certificate is issued to the student</w:t>
      </w:r>
      <w:r>
        <w:rPr>
          <w:rFonts w:cs="Arial"/>
          <w:sz w:val="20"/>
        </w:rPr>
        <w:t>,</w:t>
      </w:r>
      <w:r w:rsidRPr="00B957D8">
        <w:rPr>
          <w:rFonts w:cs="Arial"/>
          <w:sz w:val="20"/>
        </w:rPr>
        <w:t xml:space="preserve"> the</w:t>
      </w:r>
      <w:r>
        <w:rPr>
          <w:rFonts w:cs="Arial"/>
          <w:sz w:val="20"/>
        </w:rPr>
        <w:t xml:space="preserve"> </w:t>
      </w:r>
      <w:r w:rsidRPr="00B957D8">
        <w:rPr>
          <w:rFonts w:cs="Arial"/>
          <w:sz w:val="20"/>
        </w:rPr>
        <w:t>‘issued flag’ value</w:t>
      </w:r>
      <w:r>
        <w:rPr>
          <w:rFonts w:cs="Arial"/>
          <w:sz w:val="20"/>
        </w:rPr>
        <w:t xml:space="preserve"> in the Program Completed file</w:t>
      </w:r>
      <w:r w:rsidRPr="00B957D8">
        <w:rPr>
          <w:rFonts w:cs="Arial"/>
          <w:sz w:val="20"/>
        </w:rPr>
        <w:t xml:space="preserve"> must be </w:t>
      </w:r>
      <w:r>
        <w:rPr>
          <w:rFonts w:cs="Arial"/>
          <w:sz w:val="20"/>
        </w:rPr>
        <w:t xml:space="preserve">changed </w:t>
      </w:r>
      <w:r w:rsidRPr="00B957D8">
        <w:rPr>
          <w:rFonts w:cs="Arial"/>
          <w:sz w:val="20"/>
        </w:rPr>
        <w:t>to ‘Y’ (Issued)</w:t>
      </w:r>
    </w:p>
    <w:p w14:paraId="0C25BC48" w14:textId="77777777" w:rsidR="00AA7419" w:rsidRPr="00017BA5" w:rsidRDefault="00AA7419" w:rsidP="00A4622D">
      <w:pPr>
        <w:pStyle w:val="ColorfulList-Accent11"/>
        <w:numPr>
          <w:ilvl w:val="0"/>
          <w:numId w:val="47"/>
        </w:numPr>
        <w:spacing w:before="40"/>
        <w:ind w:left="1077" w:hanging="357"/>
        <w:rPr>
          <w:rFonts w:cs="Arial"/>
          <w:sz w:val="20"/>
        </w:rPr>
      </w:pPr>
      <w:r w:rsidRPr="00017BA5">
        <w:rPr>
          <w:rFonts w:cs="Arial"/>
          <w:sz w:val="20"/>
        </w:rPr>
        <w:lastRenderedPageBreak/>
        <w:t>date program completed</w:t>
      </w:r>
    </w:p>
    <w:p w14:paraId="1EB4D972" w14:textId="77777777" w:rsidR="00AA7419" w:rsidRPr="00017BA5" w:rsidRDefault="00AA7419" w:rsidP="00A4622D">
      <w:pPr>
        <w:pStyle w:val="ColorfulList-Accent11"/>
        <w:numPr>
          <w:ilvl w:val="0"/>
          <w:numId w:val="47"/>
        </w:numPr>
        <w:spacing w:before="40"/>
        <w:ind w:left="1077" w:hanging="357"/>
        <w:rPr>
          <w:rFonts w:cs="Arial"/>
          <w:sz w:val="20"/>
        </w:rPr>
      </w:pPr>
      <w:r w:rsidRPr="00017BA5">
        <w:rPr>
          <w:rFonts w:cs="Arial"/>
          <w:sz w:val="20"/>
        </w:rPr>
        <w:t xml:space="preserve">parchment issue date </w:t>
      </w:r>
    </w:p>
    <w:p w14:paraId="1B06ADBD" w14:textId="77777777" w:rsidR="00AA7419" w:rsidRDefault="00AA7419" w:rsidP="00A4622D">
      <w:pPr>
        <w:pStyle w:val="ColorfulList-Accent11"/>
        <w:numPr>
          <w:ilvl w:val="0"/>
          <w:numId w:val="47"/>
        </w:numPr>
        <w:spacing w:before="40"/>
        <w:ind w:left="1077" w:hanging="357"/>
        <w:rPr>
          <w:rFonts w:cs="Arial"/>
          <w:sz w:val="20"/>
        </w:rPr>
      </w:pPr>
      <w:proofErr w:type="gramStart"/>
      <w:r w:rsidRPr="00E923D4">
        <w:rPr>
          <w:rFonts w:cs="Arial"/>
          <w:sz w:val="20"/>
        </w:rPr>
        <w:t>any</w:t>
      </w:r>
      <w:proofErr w:type="gramEnd"/>
      <w:r w:rsidRPr="00E923D4">
        <w:rPr>
          <w:rFonts w:cs="Arial"/>
          <w:sz w:val="20"/>
        </w:rPr>
        <w:t xml:space="preserve"> other information as requested by the department.</w:t>
      </w:r>
    </w:p>
    <w:p w14:paraId="6A43FA25" w14:textId="77777777" w:rsidR="00AA7419" w:rsidRPr="00E923D4" w:rsidRDefault="00AA7419" w:rsidP="00AA7419">
      <w:pPr>
        <w:pStyle w:val="ColorfulList-Accent11"/>
        <w:ind w:left="1080"/>
        <w:contextualSpacing/>
        <w:rPr>
          <w:rFonts w:cs="Arial"/>
          <w:sz w:val="20"/>
        </w:rPr>
      </w:pPr>
    </w:p>
    <w:p w14:paraId="4CE054C4" w14:textId="77777777" w:rsidR="00AA7419" w:rsidRPr="00A4622D" w:rsidRDefault="00AA7419" w:rsidP="00AA7419">
      <w:pPr>
        <w:pStyle w:val="ListParagraph0"/>
        <w:numPr>
          <w:ilvl w:val="0"/>
          <w:numId w:val="33"/>
        </w:numPr>
        <w:spacing w:before="0" w:after="0" w:line="240" w:lineRule="auto"/>
        <w:contextualSpacing/>
        <w:rPr>
          <w:rFonts w:cs="Arial"/>
          <w:sz w:val="20"/>
          <w:szCs w:val="20"/>
          <w:lang w:eastAsia="en-US"/>
        </w:rPr>
      </w:pPr>
      <w:r w:rsidRPr="00A4622D">
        <w:rPr>
          <w:rFonts w:cs="Arial"/>
          <w:sz w:val="20"/>
          <w:szCs w:val="20"/>
          <w:lang w:eastAsia="en-US"/>
        </w:rPr>
        <w:t>comply with the following:</w:t>
      </w:r>
    </w:p>
    <w:p w14:paraId="5520B3FA" w14:textId="77777777" w:rsidR="00AA7419" w:rsidRPr="00A4622D" w:rsidRDefault="00AA7419" w:rsidP="00AA7419">
      <w:pPr>
        <w:rPr>
          <w:rFonts w:cs="Arial"/>
          <w:sz w:val="20"/>
          <w:szCs w:val="20"/>
          <w:lang w:eastAsia="en-US"/>
        </w:rPr>
      </w:pPr>
    </w:p>
    <w:p w14:paraId="62A55051" w14:textId="77777777" w:rsidR="00AA7419" w:rsidRPr="00A4622D" w:rsidRDefault="00AA7419" w:rsidP="00AA7419">
      <w:pPr>
        <w:ind w:left="360"/>
        <w:rPr>
          <w:rFonts w:cs="Arial"/>
          <w:sz w:val="20"/>
          <w:szCs w:val="20"/>
        </w:rPr>
      </w:pPr>
      <w:r w:rsidRPr="00A4622D">
        <w:rPr>
          <w:rFonts w:cs="Arial"/>
          <w:b/>
          <w:sz w:val="20"/>
          <w:szCs w:val="20"/>
        </w:rPr>
        <w:t>Total VET activity reporting:</w:t>
      </w:r>
      <w:r w:rsidRPr="00A4622D">
        <w:rPr>
          <w:rFonts w:cs="Arial"/>
          <w:sz w:val="20"/>
          <w:szCs w:val="20"/>
        </w:rPr>
        <w:t xml:space="preserve"> The PQS must comply with the mandatory total VET activity (TVA) requirements of reporting all VET activity</w:t>
      </w:r>
      <w:r w:rsidRPr="00A4622D">
        <w:rPr>
          <w:rFonts w:eastAsiaTheme="minorEastAsia" w:cs="Arial" w:hint="eastAsia"/>
          <w:sz w:val="20"/>
          <w:szCs w:val="20"/>
          <w:lang w:eastAsia="zh-CN"/>
        </w:rPr>
        <w:t>,</w:t>
      </w:r>
      <w:r w:rsidRPr="00A4622D">
        <w:rPr>
          <w:rFonts w:cs="Arial"/>
          <w:sz w:val="20"/>
          <w:szCs w:val="20"/>
        </w:rPr>
        <w:t xml:space="preserve"> including FFS (domestic and international) delivery, with the exception of where an exemption has been granted by ASQA.</w:t>
      </w:r>
    </w:p>
    <w:p w14:paraId="7B070CBD" w14:textId="77777777" w:rsidR="00AA7419" w:rsidRPr="00A4622D" w:rsidRDefault="00AA7419" w:rsidP="00AA7419">
      <w:pPr>
        <w:ind w:left="360"/>
        <w:rPr>
          <w:rFonts w:cs="Arial"/>
          <w:b/>
          <w:color w:val="000000"/>
          <w:sz w:val="20"/>
          <w:szCs w:val="20"/>
        </w:rPr>
      </w:pPr>
    </w:p>
    <w:p w14:paraId="58809C47" w14:textId="77777777" w:rsidR="00AA7419" w:rsidRPr="00A4622D" w:rsidRDefault="00AA7419" w:rsidP="00AA7419">
      <w:pPr>
        <w:ind w:left="360"/>
        <w:contextualSpacing/>
        <w:rPr>
          <w:sz w:val="20"/>
          <w:szCs w:val="20"/>
        </w:rPr>
      </w:pPr>
      <w:r w:rsidRPr="00A4622D">
        <w:rPr>
          <w:b/>
          <w:bCs/>
          <w:sz w:val="20"/>
          <w:szCs w:val="20"/>
        </w:rPr>
        <w:t>Unique Student Identifier</w:t>
      </w:r>
      <w:r w:rsidRPr="00A4622D">
        <w:rPr>
          <w:b/>
          <w:sz w:val="20"/>
          <w:szCs w:val="20"/>
        </w:rPr>
        <w:t xml:space="preserve"> (USI):</w:t>
      </w:r>
      <w:r w:rsidRPr="00A4622D">
        <w:rPr>
          <w:sz w:val="20"/>
          <w:szCs w:val="20"/>
        </w:rPr>
        <w:t xml:space="preserve"> All students (new and continuing) participating in nationally recognised training in Australia from 1 January 2015 are required to have a verified USI. </w:t>
      </w:r>
    </w:p>
    <w:p w14:paraId="58F8461B" w14:textId="77777777" w:rsidR="00AA7419" w:rsidRPr="00A4622D" w:rsidRDefault="00AA7419" w:rsidP="00AA7419">
      <w:pPr>
        <w:ind w:left="360"/>
        <w:contextualSpacing/>
        <w:rPr>
          <w:rFonts w:cs="Arial"/>
          <w:b/>
          <w:sz w:val="20"/>
          <w:szCs w:val="20"/>
        </w:rPr>
      </w:pPr>
      <w:r w:rsidRPr="00A4622D">
        <w:rPr>
          <w:sz w:val="20"/>
          <w:szCs w:val="20"/>
        </w:rPr>
        <w:t xml:space="preserve">As legislated </w:t>
      </w:r>
      <w:r w:rsidRPr="00A4622D">
        <w:rPr>
          <w:i/>
          <w:iCs/>
          <w:sz w:val="20"/>
          <w:szCs w:val="20"/>
        </w:rPr>
        <w:t>(Student Identifiers Act 2014 – Part 5 Section 53)</w:t>
      </w:r>
      <w:r w:rsidRPr="00A4622D">
        <w:rPr>
          <w:rFonts w:eastAsiaTheme="minorEastAsia" w:hint="eastAsia"/>
          <w:iCs/>
          <w:sz w:val="20"/>
          <w:szCs w:val="20"/>
          <w:lang w:eastAsia="zh-CN"/>
        </w:rPr>
        <w:t>,</w:t>
      </w:r>
      <w:r w:rsidRPr="00A4622D">
        <w:rPr>
          <w:sz w:val="20"/>
          <w:szCs w:val="20"/>
        </w:rPr>
        <w:t xml:space="preserve"> an RTO must not issue a VET Statement of Attainment and/or a VET Qualification to a student that hasn’t been assigned an USI, except where an exemption applies.</w:t>
      </w:r>
    </w:p>
    <w:p w14:paraId="47A64C61" w14:textId="77777777" w:rsidR="00AA7419" w:rsidRPr="00A4622D" w:rsidRDefault="00AA7419" w:rsidP="00AA7419">
      <w:pPr>
        <w:ind w:left="360"/>
        <w:contextualSpacing/>
        <w:rPr>
          <w:rFonts w:cs="Arial"/>
          <w:b/>
          <w:color w:val="000000"/>
          <w:sz w:val="20"/>
          <w:szCs w:val="20"/>
        </w:rPr>
      </w:pPr>
    </w:p>
    <w:p w14:paraId="51CD0585" w14:textId="77777777" w:rsidR="00AA7419" w:rsidRPr="00A4622D" w:rsidRDefault="00AA7419" w:rsidP="00AA7419">
      <w:pPr>
        <w:ind w:left="360"/>
        <w:contextualSpacing/>
        <w:rPr>
          <w:rFonts w:cs="Arial"/>
          <w:color w:val="000000"/>
          <w:sz w:val="20"/>
          <w:szCs w:val="20"/>
        </w:rPr>
      </w:pPr>
      <w:r w:rsidRPr="00A4622D">
        <w:rPr>
          <w:rFonts w:cs="Arial"/>
          <w:b/>
          <w:color w:val="000000"/>
          <w:sz w:val="20"/>
          <w:szCs w:val="20"/>
        </w:rPr>
        <w:t>Credit transfer:</w:t>
      </w:r>
      <w:r w:rsidRPr="00A4622D">
        <w:rPr>
          <w:rFonts w:cs="Arial"/>
          <w:color w:val="000000"/>
          <w:sz w:val="20"/>
          <w:szCs w:val="20"/>
        </w:rPr>
        <w:t xml:space="preserve"> The PQS must report any unit of competency available for credit transfer as a credit transfer, as per the rules under the relevant training package or accredited course. It is the responsibility of the PQS to check a student’s statement of attainment or record of results when they have previously undertaken training to determine if any completed units of competency can be counted towards, and are relevant to, the qualification in which the student intends to enrol. If yes, the PQS must record the unit of competency as a credit transfer and it will be counted as part of the maximum number of units of competency payable for the qualification.  </w:t>
      </w:r>
    </w:p>
    <w:p w14:paraId="4159A8D1" w14:textId="77777777" w:rsidR="00AA7419" w:rsidRPr="00A4622D" w:rsidRDefault="00AA7419" w:rsidP="00AA7419">
      <w:pPr>
        <w:ind w:left="720"/>
        <w:rPr>
          <w:rFonts w:cs="Arial"/>
          <w:sz w:val="20"/>
          <w:szCs w:val="20"/>
        </w:rPr>
      </w:pPr>
    </w:p>
    <w:p w14:paraId="27AE2A2D" w14:textId="77777777" w:rsidR="00AA7419" w:rsidRPr="00A4622D" w:rsidRDefault="00AA7419" w:rsidP="00AA7419">
      <w:pPr>
        <w:ind w:left="360"/>
        <w:rPr>
          <w:rFonts w:cs="Arial"/>
          <w:sz w:val="20"/>
          <w:szCs w:val="20"/>
        </w:rPr>
      </w:pPr>
      <w:r w:rsidRPr="00A4622D">
        <w:rPr>
          <w:rFonts w:cs="Arial"/>
          <w:b/>
          <w:sz w:val="20"/>
          <w:szCs w:val="20"/>
        </w:rPr>
        <w:t xml:space="preserve">Location loadings: </w:t>
      </w:r>
      <w:r w:rsidRPr="00A4622D">
        <w:rPr>
          <w:rFonts w:cs="Arial"/>
          <w:sz w:val="20"/>
          <w:szCs w:val="20"/>
        </w:rPr>
        <w:t xml:space="preserve">Loadings will be paid to PQS to encourage delivery in identified country and remote areas in Queensland, and in Cape York and </w:t>
      </w:r>
      <w:r w:rsidRPr="00A4622D">
        <w:rPr>
          <w:rFonts w:eastAsiaTheme="minorEastAsia" w:cs="Arial" w:hint="eastAsia"/>
          <w:sz w:val="20"/>
          <w:szCs w:val="20"/>
          <w:lang w:eastAsia="zh-CN"/>
        </w:rPr>
        <w:t xml:space="preserve">the </w:t>
      </w:r>
      <w:r w:rsidRPr="00A4622D">
        <w:rPr>
          <w:rFonts w:cs="Arial"/>
          <w:sz w:val="20"/>
          <w:szCs w:val="20"/>
        </w:rPr>
        <w:t xml:space="preserve">Torres Strait. PQS will be required to report the postcode and locality name of where training was delivered to claim and receive an applicable location loading. </w:t>
      </w:r>
    </w:p>
    <w:p w14:paraId="5F94C86D" w14:textId="77777777" w:rsidR="00AA7419" w:rsidRPr="00A4622D" w:rsidRDefault="00AA7419" w:rsidP="00AA7419">
      <w:pPr>
        <w:ind w:left="360"/>
        <w:rPr>
          <w:rFonts w:cs="Arial"/>
          <w:sz w:val="20"/>
          <w:szCs w:val="20"/>
        </w:rPr>
      </w:pPr>
    </w:p>
    <w:p w14:paraId="69D9F3C2" w14:textId="77777777" w:rsidR="00AA7419" w:rsidRPr="00A4622D" w:rsidRDefault="00AA7419" w:rsidP="00AA7419">
      <w:pPr>
        <w:ind w:left="360"/>
        <w:rPr>
          <w:rFonts w:eastAsia="MS Gothic" w:cs="Arial"/>
          <w:sz w:val="20"/>
          <w:szCs w:val="20"/>
        </w:rPr>
      </w:pPr>
      <w:r w:rsidRPr="00A4622D">
        <w:rPr>
          <w:rFonts w:cs="Arial"/>
          <w:sz w:val="20"/>
          <w:szCs w:val="20"/>
        </w:rPr>
        <w:t xml:space="preserve">Locations attracting the loading and the loading amounts can be found in the </w:t>
      </w:r>
      <w:r w:rsidRPr="00A4622D">
        <w:rPr>
          <w:sz w:val="20"/>
          <w:szCs w:val="20"/>
        </w:rPr>
        <w:t>Localities and Location Loadings List</w:t>
      </w:r>
      <w:r w:rsidRPr="00A4622D">
        <w:rPr>
          <w:rFonts w:cs="Arial"/>
          <w:sz w:val="20"/>
          <w:szCs w:val="20"/>
        </w:rPr>
        <w:t>.</w:t>
      </w:r>
      <w:r w:rsidRPr="00A4622D">
        <w:rPr>
          <w:rFonts w:eastAsia="MS Gothic" w:cs="Arial"/>
          <w:sz w:val="20"/>
          <w:szCs w:val="20"/>
        </w:rPr>
        <w:t xml:space="preserve"> To ensure location loadings are only payable where the PQS has incurred additional costs through actual local delivery, eligibility to claim the loading will be restricted to classroom-based (10) and employment-based (30) delivery modes only, and internal delivery (I) and workplace-based (W) predominant delivery modes only.</w:t>
      </w:r>
    </w:p>
    <w:p w14:paraId="69694479" w14:textId="77777777" w:rsidR="00AA7419" w:rsidRDefault="00AA7419" w:rsidP="00AA7419">
      <w:pPr>
        <w:ind w:left="360"/>
        <w:rPr>
          <w:rFonts w:eastAsia="MS Gothic" w:cs="Arial"/>
        </w:rPr>
      </w:pPr>
    </w:p>
    <w:p w14:paraId="0674BE7C" w14:textId="77777777" w:rsidR="00AA7419" w:rsidRPr="00E923D4" w:rsidRDefault="00AA7419" w:rsidP="00AA7419">
      <w:pPr>
        <w:ind w:left="360"/>
        <w:rPr>
          <w:rFonts w:eastAsia="MS Gothic" w:cs="Arial"/>
        </w:rPr>
      </w:pPr>
    </w:p>
    <w:p w14:paraId="47BC5D6F" w14:textId="77777777" w:rsidR="00AA7419" w:rsidRPr="00650238" w:rsidRDefault="00AA7419" w:rsidP="00AA7419">
      <w:pPr>
        <w:pStyle w:val="Header1policy"/>
        <w:numPr>
          <w:ilvl w:val="0"/>
          <w:numId w:val="0"/>
        </w:numPr>
        <w:ind w:left="360" w:hanging="360"/>
        <w:outlineLvl w:val="0"/>
      </w:pPr>
      <w:r w:rsidRPr="00E923D4">
        <w:rPr>
          <w:color w:val="000000"/>
        </w:rPr>
        <w:br w:type="page"/>
      </w:r>
      <w:r w:rsidRPr="00650238">
        <w:lastRenderedPageBreak/>
        <w:t xml:space="preserve">Appendix </w:t>
      </w:r>
      <w:r>
        <w:t>4:</w:t>
      </w:r>
      <w:r w:rsidRPr="00650238">
        <w:rPr>
          <w:rFonts w:eastAsiaTheme="minorEastAsia" w:hint="eastAsia"/>
          <w:lang w:eastAsia="zh-CN"/>
        </w:rPr>
        <w:t xml:space="preserve"> </w:t>
      </w:r>
      <w:r w:rsidRPr="00650238">
        <w:t>Payment terms</w:t>
      </w:r>
    </w:p>
    <w:p w14:paraId="2059429E" w14:textId="77777777" w:rsidR="00AA7419" w:rsidRPr="005362B6" w:rsidRDefault="00AA7419" w:rsidP="00AA7419">
      <w:pPr>
        <w:tabs>
          <w:tab w:val="left" w:pos="567"/>
          <w:tab w:val="left" w:pos="1134"/>
          <w:tab w:val="left" w:pos="1701"/>
        </w:tabs>
        <w:rPr>
          <w:rFonts w:cs="Arial"/>
          <w:color w:val="000000"/>
          <w:sz w:val="21"/>
          <w:szCs w:val="21"/>
        </w:rPr>
      </w:pPr>
    </w:p>
    <w:p w14:paraId="1B5D7254"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The government subsidy will be paid to the PQS as units of competency are delivered and accurately reported. All payments will be made at an individual unit of competency level if applicable</w:t>
      </w:r>
      <w:r>
        <w:rPr>
          <w:rFonts w:cs="Arial"/>
          <w:color w:val="000000"/>
          <w:sz w:val="20"/>
        </w:rPr>
        <w:t>,</w:t>
      </w:r>
      <w:r w:rsidRPr="0066021C">
        <w:rPr>
          <w:rFonts w:cs="Arial"/>
          <w:color w:val="000000"/>
          <w:sz w:val="20"/>
        </w:rPr>
        <w:t xml:space="preserve"> with payable outcomes as per </w:t>
      </w:r>
      <w:r w:rsidRPr="0066021C">
        <w:rPr>
          <w:rFonts w:cs="Arial"/>
          <w:b/>
          <w:color w:val="000000"/>
          <w:sz w:val="20"/>
        </w:rPr>
        <w:t>Table 4</w:t>
      </w:r>
      <w:r w:rsidRPr="0066021C">
        <w:rPr>
          <w:rFonts w:cs="Arial"/>
          <w:color w:val="000000"/>
          <w:sz w:val="20"/>
        </w:rPr>
        <w:t>.</w:t>
      </w:r>
    </w:p>
    <w:p w14:paraId="6AF7CC91" w14:textId="77777777" w:rsidR="00AA7419" w:rsidRPr="0066021C" w:rsidRDefault="00AA7419" w:rsidP="00AA7419">
      <w:pPr>
        <w:contextualSpacing/>
        <w:rPr>
          <w:rFonts w:cs="Arial"/>
          <w:color w:val="000000"/>
        </w:rPr>
      </w:pPr>
    </w:p>
    <w:p w14:paraId="3F6FBE87"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The maximum claim for any unit of competency is calculated by dividing the government subsidy by the competency count payable for the qualification. Claimed units of competency in excess of the maximum number payable will not be paid by the department.</w:t>
      </w:r>
    </w:p>
    <w:p w14:paraId="3CED1197" w14:textId="77777777" w:rsidR="00AA7419" w:rsidRPr="0066021C" w:rsidRDefault="00AA7419" w:rsidP="00AA7419">
      <w:pPr>
        <w:tabs>
          <w:tab w:val="left" w:pos="1134"/>
        </w:tabs>
        <w:rPr>
          <w:rFonts w:cs="Arial"/>
        </w:rPr>
      </w:pPr>
    </w:p>
    <w:p w14:paraId="6DC8B1CF"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 xml:space="preserve">For training and assessment services, payments to PQS are </w:t>
      </w:r>
      <w:r>
        <w:rPr>
          <w:rFonts w:cs="Arial"/>
          <w:color w:val="000000"/>
          <w:sz w:val="20"/>
        </w:rPr>
        <w:t xml:space="preserve">generally </w:t>
      </w:r>
      <w:r w:rsidRPr="0066021C">
        <w:rPr>
          <w:rFonts w:cs="Arial"/>
          <w:color w:val="000000"/>
          <w:sz w:val="20"/>
        </w:rPr>
        <w:t>made monthly only for the data which is error free</w:t>
      </w:r>
      <w:r>
        <w:rPr>
          <w:rFonts w:cs="Arial"/>
          <w:color w:val="000000"/>
          <w:sz w:val="20"/>
        </w:rPr>
        <w:t xml:space="preserve"> and addresses all requirements and fields specified in </w:t>
      </w:r>
      <w:r w:rsidRPr="00286EF1">
        <w:rPr>
          <w:rFonts w:cs="Arial"/>
          <w:b/>
          <w:color w:val="000000"/>
          <w:sz w:val="20"/>
        </w:rPr>
        <w:t xml:space="preserve">Appendix </w:t>
      </w:r>
      <w:r>
        <w:rPr>
          <w:rFonts w:cs="Arial"/>
          <w:b/>
          <w:color w:val="000000"/>
          <w:sz w:val="20"/>
        </w:rPr>
        <w:t>3</w:t>
      </w:r>
      <w:r>
        <w:rPr>
          <w:rFonts w:cs="Arial"/>
          <w:color w:val="000000"/>
          <w:sz w:val="20"/>
        </w:rPr>
        <w:t xml:space="preserve"> (</w:t>
      </w:r>
      <w:r w:rsidRPr="0066021C">
        <w:rPr>
          <w:rFonts w:cs="Arial"/>
          <w:color w:val="000000"/>
          <w:sz w:val="20"/>
        </w:rPr>
        <w:t xml:space="preserve">i.e. data which meets the AVETMIS </w:t>
      </w:r>
      <w:r>
        <w:rPr>
          <w:rFonts w:cs="Arial"/>
          <w:color w:val="000000"/>
          <w:sz w:val="20"/>
        </w:rPr>
        <w:t>S</w:t>
      </w:r>
      <w:r w:rsidRPr="0066021C">
        <w:rPr>
          <w:rFonts w:cs="Arial"/>
          <w:color w:val="000000"/>
          <w:sz w:val="20"/>
        </w:rPr>
        <w:t>tandard and all program rules and departmental validations for delivery and payment</w:t>
      </w:r>
      <w:r>
        <w:rPr>
          <w:rFonts w:cs="Arial"/>
          <w:color w:val="000000"/>
          <w:sz w:val="20"/>
        </w:rPr>
        <w:t>)</w:t>
      </w:r>
      <w:r w:rsidRPr="0066021C">
        <w:rPr>
          <w:rFonts w:cs="Arial"/>
          <w:color w:val="000000"/>
          <w:sz w:val="20"/>
        </w:rPr>
        <w:t xml:space="preserve">. If payment is not received, the PQS should review its data submission to correct errors </w:t>
      </w:r>
      <w:r>
        <w:rPr>
          <w:rFonts w:cs="Arial"/>
          <w:color w:val="000000"/>
          <w:sz w:val="20"/>
        </w:rPr>
        <w:t xml:space="preserve">and/or incomplete data, </w:t>
      </w:r>
      <w:r w:rsidRPr="0066021C">
        <w:rPr>
          <w:rFonts w:cs="Arial"/>
          <w:color w:val="000000"/>
          <w:sz w:val="20"/>
        </w:rPr>
        <w:t>for payment in the following month.</w:t>
      </w:r>
    </w:p>
    <w:p w14:paraId="475A37E0" w14:textId="77777777" w:rsidR="00AA7419" w:rsidRPr="0066021C" w:rsidRDefault="00AA7419" w:rsidP="00AA7419">
      <w:pPr>
        <w:pStyle w:val="ColorfulList-Accent11"/>
        <w:ind w:left="360"/>
        <w:rPr>
          <w:rFonts w:cs="Arial"/>
          <w:color w:val="000000"/>
          <w:sz w:val="20"/>
        </w:rPr>
      </w:pPr>
    </w:p>
    <w:p w14:paraId="6B1E78F2"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 xml:space="preserve">All payments to a PQS will be made via electronic funds transfer to a bank account nominated by the PQS. It is the responsibility of the PQS to inform the department of any changes to its bank account details.  </w:t>
      </w:r>
    </w:p>
    <w:p w14:paraId="0B12BD53" w14:textId="77777777" w:rsidR="00AA7419" w:rsidRPr="0066021C" w:rsidRDefault="00AA7419" w:rsidP="00AA7419">
      <w:pPr>
        <w:contextualSpacing/>
        <w:rPr>
          <w:rFonts w:cs="Arial"/>
          <w:color w:val="000000"/>
        </w:rPr>
      </w:pPr>
    </w:p>
    <w:p w14:paraId="68F5D1B9"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sz w:val="20"/>
        </w:rPr>
      </w:pPr>
      <w:r w:rsidRPr="0066021C">
        <w:rPr>
          <w:rFonts w:cs="Arial"/>
          <w:sz w:val="20"/>
        </w:rPr>
        <w:t xml:space="preserve">To support both national reporting obligations and the </w:t>
      </w:r>
      <w:r w:rsidRPr="0066021C">
        <w:rPr>
          <w:rFonts w:cs="Arial"/>
          <w:color w:val="000000"/>
          <w:sz w:val="20"/>
        </w:rPr>
        <w:t>department’s</w:t>
      </w:r>
      <w:r w:rsidRPr="0066021C">
        <w:rPr>
          <w:rFonts w:cs="Arial"/>
          <w:sz w:val="20"/>
        </w:rPr>
        <w:t xml:space="preserve"> budget management, the PQS must comply with the notified timelines for submission of compliant VET activity data to the </w:t>
      </w:r>
      <w:r w:rsidRPr="0066021C">
        <w:rPr>
          <w:rFonts w:cs="Arial"/>
          <w:color w:val="000000"/>
          <w:sz w:val="20"/>
        </w:rPr>
        <w:t>department</w:t>
      </w:r>
      <w:r w:rsidRPr="0066021C">
        <w:rPr>
          <w:rFonts w:cs="Arial"/>
          <w:sz w:val="20"/>
        </w:rPr>
        <w:t xml:space="preserve">. No payment will be made for training and assessment services not reported to the </w:t>
      </w:r>
      <w:r w:rsidRPr="0066021C">
        <w:rPr>
          <w:rFonts w:cs="Arial"/>
          <w:color w:val="000000"/>
          <w:sz w:val="20"/>
        </w:rPr>
        <w:t>department</w:t>
      </w:r>
      <w:r w:rsidRPr="0066021C">
        <w:rPr>
          <w:rFonts w:cs="Arial"/>
          <w:sz w:val="20"/>
        </w:rPr>
        <w:t xml:space="preserve"> in accordance with the timelines stated in this policy (see </w:t>
      </w:r>
      <w:r w:rsidRPr="0066021C">
        <w:rPr>
          <w:rFonts w:cs="Arial"/>
          <w:b/>
          <w:sz w:val="20"/>
        </w:rPr>
        <w:t xml:space="preserve">Appendix </w:t>
      </w:r>
      <w:r>
        <w:rPr>
          <w:rFonts w:cs="Arial"/>
          <w:b/>
          <w:sz w:val="20"/>
        </w:rPr>
        <w:t>3</w:t>
      </w:r>
      <w:r w:rsidRPr="0066021C">
        <w:rPr>
          <w:rFonts w:cs="Arial"/>
          <w:sz w:val="20"/>
        </w:rPr>
        <w:t>).</w:t>
      </w:r>
    </w:p>
    <w:p w14:paraId="397B855E" w14:textId="77777777" w:rsidR="00AA7419" w:rsidRPr="0066021C" w:rsidRDefault="00AA7419" w:rsidP="00AA7419">
      <w:pPr>
        <w:contextualSpacing/>
        <w:rPr>
          <w:rFonts w:cs="Arial"/>
          <w:color w:val="000000"/>
        </w:rPr>
      </w:pPr>
    </w:p>
    <w:p w14:paraId="52B834D9"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Any changes to the government subsidy for a qualification will only apply to students who commence training from the date specified by the department, which will be an appropriate period after the announcement of the change by the department.</w:t>
      </w:r>
    </w:p>
    <w:p w14:paraId="7FD05087" w14:textId="77777777" w:rsidR="00AA7419" w:rsidRPr="0066021C" w:rsidRDefault="00AA7419" w:rsidP="00AA7419">
      <w:pPr>
        <w:contextualSpacing/>
        <w:rPr>
          <w:rFonts w:cs="Arial"/>
          <w:color w:val="000000"/>
        </w:rPr>
      </w:pPr>
    </w:p>
    <w:p w14:paraId="75AE5A3A"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 xml:space="preserve">For recommencing students, the government subsidy will be equal to the residual value of the government subsidy for the qualification at the time of the student’s recommencement.  </w:t>
      </w:r>
      <w:r w:rsidRPr="0066021C">
        <w:rPr>
          <w:rFonts w:cs="Arial"/>
          <w:color w:val="000000"/>
          <w:sz w:val="20"/>
        </w:rPr>
        <w:br/>
        <w:t xml:space="preserve">For example, if the government subsidy for a qualification is $3000 and the maximum number of payable units of competency is 10 (i.e. $300 per unit), then if a student recommences after completing four units (i.e. six units remaining), the residual value will be $1800 calculated as follows </w:t>
      </w:r>
      <w:r w:rsidRPr="0066021C">
        <w:rPr>
          <w:sz w:val="20"/>
        </w:rPr>
        <w:t>—</w:t>
      </w:r>
      <w:r w:rsidRPr="0066021C">
        <w:rPr>
          <w:rFonts w:cs="Arial"/>
          <w:color w:val="000000"/>
          <w:sz w:val="20"/>
        </w:rPr>
        <w:t xml:space="preserve"> six units x $300 = $1800.</w:t>
      </w:r>
    </w:p>
    <w:p w14:paraId="3CC867C5" w14:textId="77777777" w:rsidR="00AA7419" w:rsidRPr="0066021C" w:rsidRDefault="00AA7419" w:rsidP="00AA7419">
      <w:pPr>
        <w:contextualSpacing/>
        <w:rPr>
          <w:rFonts w:cs="Arial"/>
          <w:color w:val="000000"/>
        </w:rPr>
      </w:pPr>
      <w:bookmarkStart w:id="3" w:name="_Toc373481405"/>
    </w:p>
    <w:bookmarkEnd w:id="3"/>
    <w:p w14:paraId="6F41BE6A"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 xml:space="preserve">In the event that a qualification is superseded by a new qualification, the PQS will transfer students from the original qualification to the new qualification in accordance with ASQA’s General Direction </w:t>
      </w:r>
      <w:r w:rsidRPr="007E2A0B">
        <w:rPr>
          <w:rFonts w:cs="Arial"/>
          <w:sz w:val="20"/>
        </w:rPr>
        <w:t>—</w:t>
      </w:r>
      <w:r>
        <w:rPr>
          <w:rFonts w:cs="Arial"/>
          <w:sz w:val="20"/>
        </w:rPr>
        <w:t xml:space="preserve"> </w:t>
      </w:r>
      <w:r w:rsidRPr="0066021C">
        <w:rPr>
          <w:rFonts w:cs="Arial"/>
          <w:color w:val="000000"/>
          <w:sz w:val="20"/>
        </w:rPr>
        <w:t xml:space="preserve">Learner Transition and Clauses 1.26 and 1.27 in the </w:t>
      </w:r>
      <w:r w:rsidRPr="0066021C">
        <w:rPr>
          <w:rFonts w:cs="Arial"/>
          <w:i/>
          <w:color w:val="000000"/>
          <w:sz w:val="20"/>
        </w:rPr>
        <w:t>Standards for Registered Training Organisations (RTOs) 2015</w:t>
      </w:r>
      <w:r w:rsidRPr="0066021C">
        <w:rPr>
          <w:rFonts w:cs="Arial"/>
          <w:color w:val="000000"/>
          <w:sz w:val="20"/>
        </w:rPr>
        <w:t>.</w:t>
      </w:r>
    </w:p>
    <w:p w14:paraId="4832DE25" w14:textId="77777777" w:rsidR="00AA7419" w:rsidRPr="0066021C" w:rsidRDefault="00AA7419" w:rsidP="00AA7419">
      <w:pPr>
        <w:pStyle w:val="ColorfulList-Accent11"/>
        <w:ind w:left="360"/>
        <w:rPr>
          <w:rFonts w:cs="Arial"/>
          <w:color w:val="000000"/>
          <w:sz w:val="20"/>
        </w:rPr>
      </w:pPr>
    </w:p>
    <w:p w14:paraId="6281122C" w14:textId="77777777" w:rsidR="00AA7419" w:rsidRPr="007E2A0B" w:rsidRDefault="00AA7419" w:rsidP="00AA7419">
      <w:pPr>
        <w:pStyle w:val="ColorfulList-Accent11"/>
        <w:numPr>
          <w:ilvl w:val="0"/>
          <w:numId w:val="42"/>
        </w:numPr>
        <w:overflowPunct/>
        <w:autoSpaceDE/>
        <w:autoSpaceDN/>
        <w:adjustRightInd/>
        <w:ind w:left="360"/>
        <w:contextualSpacing/>
        <w:textAlignment w:val="auto"/>
        <w:rPr>
          <w:rFonts w:cs="Arial"/>
          <w:sz w:val="20"/>
        </w:rPr>
      </w:pPr>
      <w:r w:rsidRPr="007E2A0B">
        <w:rPr>
          <w:rFonts w:cs="Arial"/>
          <w:sz w:val="20"/>
        </w:rPr>
        <w:t>Outcome Code 65 — ‘Transitional Gap Training’ — t</w:t>
      </w:r>
      <w:r w:rsidRPr="007E2A0B">
        <w:rPr>
          <w:sz w:val="20"/>
        </w:rPr>
        <w:t xml:space="preserve">his payment code is only to be reported where a student is transitioning from a superseded qualification into a new qualification or previously completed competencies have been superseded, and the new competencies do not directly map, therefore necessitating </w:t>
      </w:r>
      <w:r>
        <w:rPr>
          <w:sz w:val="20"/>
        </w:rPr>
        <w:t>gap training and assessment</w:t>
      </w:r>
      <w:r w:rsidRPr="007E2A0B">
        <w:rPr>
          <w:sz w:val="20"/>
        </w:rPr>
        <w:t xml:space="preserve"> to address the variance in the new competencies. The </w:t>
      </w:r>
      <w:r>
        <w:rPr>
          <w:sz w:val="20"/>
        </w:rPr>
        <w:t>PQS</w:t>
      </w:r>
      <w:r w:rsidRPr="007E2A0B">
        <w:rPr>
          <w:sz w:val="20"/>
        </w:rPr>
        <w:t xml:space="preserve"> can report this outcome code, in recognition of delivery, to generate payment against the relevant PQS Agreement for the new competencies.</w:t>
      </w:r>
      <w:r w:rsidRPr="007E2A0B">
        <w:rPr>
          <w:rFonts w:cs="Arial"/>
          <w:sz w:val="20"/>
        </w:rPr>
        <w:t xml:space="preserve"> </w:t>
      </w:r>
    </w:p>
    <w:p w14:paraId="0CA30EEF" w14:textId="77777777" w:rsidR="00AA7419" w:rsidRPr="0066021C" w:rsidRDefault="00AA7419" w:rsidP="00AA7419">
      <w:pPr>
        <w:tabs>
          <w:tab w:val="left" w:pos="284"/>
          <w:tab w:val="left" w:pos="709"/>
          <w:tab w:val="left" w:pos="1701"/>
        </w:tabs>
        <w:ind w:left="349"/>
        <w:rPr>
          <w:rFonts w:cs="Arial"/>
        </w:rPr>
      </w:pPr>
    </w:p>
    <w:p w14:paraId="66809E58" w14:textId="77777777" w:rsidR="00AA7419" w:rsidRPr="0066021C" w:rsidRDefault="00AA7419" w:rsidP="00AA7419">
      <w:pPr>
        <w:pStyle w:val="ColorfulList-Accent11"/>
        <w:numPr>
          <w:ilvl w:val="0"/>
          <w:numId w:val="42"/>
        </w:numPr>
        <w:overflowPunct/>
        <w:autoSpaceDE/>
        <w:autoSpaceDN/>
        <w:adjustRightInd/>
        <w:ind w:left="360"/>
        <w:contextualSpacing/>
        <w:textAlignment w:val="auto"/>
        <w:rPr>
          <w:rFonts w:cs="Arial"/>
          <w:color w:val="000000"/>
          <w:sz w:val="20"/>
        </w:rPr>
      </w:pPr>
      <w:r w:rsidRPr="0066021C">
        <w:rPr>
          <w:rFonts w:cs="Arial"/>
          <w:color w:val="000000"/>
          <w:sz w:val="20"/>
        </w:rPr>
        <w:t xml:space="preserve">See </w:t>
      </w:r>
      <w:r w:rsidRPr="0066021C">
        <w:rPr>
          <w:rFonts w:cs="Arial"/>
          <w:b/>
          <w:color w:val="000000"/>
          <w:sz w:val="20"/>
        </w:rPr>
        <w:t xml:space="preserve">Appendix </w:t>
      </w:r>
      <w:r>
        <w:rPr>
          <w:rFonts w:cs="Arial"/>
          <w:b/>
          <w:color w:val="000000"/>
          <w:sz w:val="20"/>
        </w:rPr>
        <w:t>6</w:t>
      </w:r>
      <w:r w:rsidRPr="0066021C">
        <w:rPr>
          <w:rFonts w:cs="Arial"/>
          <w:color w:val="000000"/>
          <w:sz w:val="20"/>
        </w:rPr>
        <w:t xml:space="preserve"> for training and assessment services which are not funded by </w:t>
      </w:r>
      <w:r w:rsidRPr="0066021C">
        <w:rPr>
          <w:rFonts w:cs="Arial"/>
          <w:sz w:val="20"/>
        </w:rPr>
        <w:t>the department</w:t>
      </w:r>
      <w:r w:rsidRPr="0066021C">
        <w:rPr>
          <w:rFonts w:cs="Arial"/>
          <w:color w:val="000000"/>
          <w:sz w:val="20"/>
        </w:rPr>
        <w:t xml:space="preserve"> and will not be paid.</w:t>
      </w:r>
    </w:p>
    <w:p w14:paraId="6F4786A9" w14:textId="77777777" w:rsidR="00AA7419" w:rsidRPr="0066021C" w:rsidRDefault="00AA7419" w:rsidP="00AA7419">
      <w:pPr>
        <w:pStyle w:val="ColorfulList-Accent11"/>
        <w:overflowPunct/>
        <w:autoSpaceDE/>
        <w:autoSpaceDN/>
        <w:adjustRightInd/>
        <w:contextualSpacing/>
        <w:textAlignment w:val="auto"/>
        <w:rPr>
          <w:rFonts w:cs="Arial"/>
          <w:color w:val="000000"/>
          <w:sz w:val="20"/>
        </w:rPr>
      </w:pPr>
    </w:p>
    <w:p w14:paraId="2605E26E" w14:textId="77777777" w:rsidR="00AA7419" w:rsidRPr="00650238" w:rsidRDefault="00AA7419" w:rsidP="00AA7419">
      <w:pPr>
        <w:pStyle w:val="Header1policy"/>
        <w:numPr>
          <w:ilvl w:val="0"/>
          <w:numId w:val="0"/>
        </w:numPr>
        <w:ind w:left="360" w:hanging="360"/>
        <w:outlineLvl w:val="0"/>
      </w:pPr>
      <w:r>
        <w:br w:type="page"/>
      </w:r>
      <w:r w:rsidRPr="00650238">
        <w:lastRenderedPageBreak/>
        <w:t xml:space="preserve">Appendix </w:t>
      </w:r>
      <w:r>
        <w:t>5:</w:t>
      </w:r>
      <w:r w:rsidRPr="00650238">
        <w:rPr>
          <w:rFonts w:eastAsiaTheme="minorEastAsia" w:hint="eastAsia"/>
          <w:lang w:eastAsia="zh-CN"/>
        </w:rPr>
        <w:t xml:space="preserve"> </w:t>
      </w:r>
      <w:r w:rsidRPr="00650238">
        <w:t>Data tables</w:t>
      </w:r>
    </w:p>
    <w:p w14:paraId="1B77905C" w14:textId="77777777" w:rsidR="00AA7419" w:rsidRPr="004C5473" w:rsidRDefault="00AA7419" w:rsidP="00A4622D">
      <w:pPr>
        <w:spacing w:before="120"/>
        <w:rPr>
          <w:rFonts w:cs="Arial"/>
          <w:b/>
          <w:szCs w:val="22"/>
        </w:rPr>
      </w:pPr>
      <w:r w:rsidRPr="00F25078">
        <w:rPr>
          <w:rFonts w:cs="Arial"/>
          <w:b/>
          <w:szCs w:val="22"/>
        </w:rPr>
        <w:t>Table 1</w:t>
      </w:r>
      <w:r>
        <w:rPr>
          <w:rFonts w:cs="Arial"/>
          <w:b/>
          <w:szCs w:val="22"/>
        </w:rPr>
        <w:t xml:space="preserve">: </w:t>
      </w:r>
      <w:r w:rsidRPr="004C5473">
        <w:rPr>
          <w:rFonts w:cs="Arial"/>
          <w:b/>
          <w:szCs w:val="22"/>
        </w:rPr>
        <w:t xml:space="preserve">Fund source codes </w:t>
      </w:r>
      <w:r>
        <w:rPr>
          <w:rFonts w:cs="Arial"/>
          <w:b/>
          <w:szCs w:val="22"/>
        </w:rPr>
        <w:t>—</w:t>
      </w:r>
      <w:r w:rsidRPr="004C5473">
        <w:rPr>
          <w:rFonts w:cs="Arial"/>
          <w:b/>
          <w:szCs w:val="22"/>
        </w:rPr>
        <w:t xml:space="preserve"> Certificate 3 Guarantee</w:t>
      </w:r>
    </w:p>
    <w:p w14:paraId="2B6E824F" w14:textId="77777777" w:rsidR="00AA7419" w:rsidRPr="00A4622D" w:rsidRDefault="00AA7419" w:rsidP="00A4622D">
      <w:pPr>
        <w:spacing w:before="120"/>
        <w:rPr>
          <w:rFonts w:cs="Arial"/>
          <w:sz w:val="20"/>
          <w:szCs w:val="20"/>
        </w:rPr>
      </w:pPr>
      <w:r w:rsidRPr="00A4622D">
        <w:rPr>
          <w:rFonts w:cs="Arial"/>
          <w:sz w:val="20"/>
          <w:szCs w:val="20"/>
        </w:rPr>
        <w:t xml:space="preserve">PQS </w:t>
      </w:r>
      <w:r w:rsidRPr="00A4622D">
        <w:rPr>
          <w:rFonts w:cs="Arial"/>
          <w:b/>
          <w:sz w:val="20"/>
          <w:szCs w:val="20"/>
        </w:rPr>
        <w:t>must</w:t>
      </w:r>
      <w:r w:rsidRPr="00A4622D">
        <w:rPr>
          <w:rFonts w:cs="Arial"/>
          <w:sz w:val="20"/>
          <w:szCs w:val="20"/>
        </w:rPr>
        <w:t xml:space="preserve"> report the correct fund source code for the student enrolled under the Certificate 3 Guarantee delivery schedule (based on the eligibility rules for the cohort) from the list below:</w:t>
      </w:r>
    </w:p>
    <w:p w14:paraId="4989E9F0" w14:textId="77777777" w:rsidR="00AA7419" w:rsidRPr="004C5473" w:rsidRDefault="00AA7419" w:rsidP="00AA7419">
      <w:pPr>
        <w:rPr>
          <w:rFonts w:cs="Arial"/>
          <w:b/>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detailing fund source codes for the Certificate 3 Gaurantee program."/>
      </w:tblPr>
      <w:tblGrid>
        <w:gridCol w:w="2042"/>
        <w:gridCol w:w="6671"/>
      </w:tblGrid>
      <w:tr w:rsidR="00AA7419" w:rsidRPr="00A4622D" w14:paraId="32761EAD" w14:textId="77777777" w:rsidTr="00213067">
        <w:trPr>
          <w:tblHeader/>
        </w:trPr>
        <w:tc>
          <w:tcPr>
            <w:tcW w:w="2042" w:type="dxa"/>
            <w:shd w:val="clear" w:color="auto" w:fill="auto"/>
          </w:tcPr>
          <w:p w14:paraId="4AE082D7"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Fund source code</w:t>
            </w:r>
          </w:p>
        </w:tc>
        <w:tc>
          <w:tcPr>
            <w:tcW w:w="6671" w:type="dxa"/>
            <w:shd w:val="clear" w:color="auto" w:fill="auto"/>
          </w:tcPr>
          <w:p w14:paraId="2208461A"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Applicable student cohort</w:t>
            </w:r>
          </w:p>
        </w:tc>
      </w:tr>
      <w:tr w:rsidR="00AA7419" w:rsidRPr="00A4622D" w14:paraId="61E70EA2" w14:textId="77777777" w:rsidTr="00213067">
        <w:tc>
          <w:tcPr>
            <w:tcW w:w="2042" w:type="dxa"/>
            <w:shd w:val="clear" w:color="auto" w:fill="auto"/>
            <w:vAlign w:val="center"/>
          </w:tcPr>
          <w:p w14:paraId="78839468"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ENT</w:t>
            </w:r>
          </w:p>
        </w:tc>
        <w:tc>
          <w:tcPr>
            <w:tcW w:w="6671" w:type="dxa"/>
            <w:shd w:val="clear" w:color="auto" w:fill="auto"/>
          </w:tcPr>
          <w:p w14:paraId="6AE15782"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Mainstream student</w:t>
            </w:r>
          </w:p>
        </w:tc>
      </w:tr>
      <w:tr w:rsidR="00AA7419" w:rsidRPr="00A4622D" w14:paraId="052670B5" w14:textId="77777777" w:rsidTr="00213067">
        <w:tc>
          <w:tcPr>
            <w:tcW w:w="2042" w:type="dxa"/>
            <w:shd w:val="clear" w:color="auto" w:fill="auto"/>
            <w:vAlign w:val="center"/>
          </w:tcPr>
          <w:p w14:paraId="78295928"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GS1</w:t>
            </w:r>
          </w:p>
        </w:tc>
        <w:tc>
          <w:tcPr>
            <w:tcW w:w="6671" w:type="dxa"/>
            <w:shd w:val="clear" w:color="auto" w:fill="auto"/>
          </w:tcPr>
          <w:p w14:paraId="654E3A7B" w14:textId="77777777" w:rsidR="00AA7419" w:rsidRPr="00A4622D" w:rsidRDefault="00AA7419" w:rsidP="00213067">
            <w:pPr>
              <w:tabs>
                <w:tab w:val="left" w:pos="0"/>
                <w:tab w:val="left" w:pos="543"/>
              </w:tabs>
              <w:spacing w:before="100" w:after="100"/>
              <w:rPr>
                <w:rFonts w:cs="Arial"/>
                <w:b/>
                <w:sz w:val="20"/>
                <w:szCs w:val="20"/>
              </w:rPr>
            </w:pPr>
            <w:r w:rsidRPr="00A4622D">
              <w:rPr>
                <w:rFonts w:cs="Arial"/>
                <w:sz w:val="20"/>
                <w:szCs w:val="20"/>
              </w:rPr>
              <w:t>Year 12 graduates (high-priority qualifications only)</w:t>
            </w:r>
          </w:p>
        </w:tc>
      </w:tr>
      <w:tr w:rsidR="00AA7419" w:rsidRPr="00A4622D" w14:paraId="1B546C3D" w14:textId="77777777" w:rsidTr="00213067">
        <w:tc>
          <w:tcPr>
            <w:tcW w:w="2042" w:type="dxa"/>
            <w:shd w:val="clear" w:color="auto" w:fill="auto"/>
            <w:vAlign w:val="center"/>
          </w:tcPr>
          <w:p w14:paraId="2EBE7213" w14:textId="77777777" w:rsidR="00AA7419" w:rsidRPr="00A4622D" w:rsidRDefault="00AA7419" w:rsidP="00213067">
            <w:pPr>
              <w:rPr>
                <w:rFonts w:cs="Arial"/>
                <w:sz w:val="20"/>
                <w:szCs w:val="20"/>
              </w:rPr>
            </w:pPr>
            <w:r w:rsidRPr="00A4622D">
              <w:rPr>
                <w:rFonts w:cs="Arial"/>
                <w:b/>
                <w:sz w:val="20"/>
                <w:szCs w:val="20"/>
              </w:rPr>
              <w:t>VSS</w:t>
            </w:r>
          </w:p>
        </w:tc>
        <w:tc>
          <w:tcPr>
            <w:tcW w:w="6671" w:type="dxa"/>
            <w:shd w:val="clear" w:color="auto" w:fill="auto"/>
          </w:tcPr>
          <w:p w14:paraId="5B2AFDB8"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 xml:space="preserve">VET in Schools (secondary school students) </w:t>
            </w:r>
          </w:p>
        </w:tc>
      </w:tr>
      <w:tr w:rsidR="00AA7419" w:rsidRPr="00A4622D" w14:paraId="75BAED0C" w14:textId="77777777" w:rsidTr="00213067">
        <w:tc>
          <w:tcPr>
            <w:tcW w:w="2042" w:type="dxa"/>
            <w:shd w:val="clear" w:color="auto" w:fill="auto"/>
            <w:vAlign w:val="center"/>
          </w:tcPr>
          <w:p w14:paraId="10C92552" w14:textId="77777777" w:rsidR="00AA7419" w:rsidRPr="00A4622D" w:rsidRDefault="00AA7419" w:rsidP="00213067">
            <w:pPr>
              <w:rPr>
                <w:rFonts w:cs="Arial"/>
                <w:b/>
                <w:sz w:val="20"/>
                <w:szCs w:val="20"/>
              </w:rPr>
            </w:pPr>
            <w:r w:rsidRPr="00A4622D">
              <w:rPr>
                <w:rFonts w:cs="Arial"/>
                <w:b/>
                <w:sz w:val="20"/>
                <w:szCs w:val="20"/>
              </w:rPr>
              <w:t>SQT</w:t>
            </w:r>
          </w:p>
        </w:tc>
        <w:tc>
          <w:tcPr>
            <w:tcW w:w="6671" w:type="dxa"/>
            <w:shd w:val="clear" w:color="auto" w:fill="auto"/>
          </w:tcPr>
          <w:p w14:paraId="0FA9875E"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Skilling Queenslanders for Work</w:t>
            </w:r>
          </w:p>
        </w:tc>
      </w:tr>
      <w:tr w:rsidR="00AA7419" w:rsidRPr="00A4622D" w14:paraId="0BFE84D5" w14:textId="77777777" w:rsidTr="00213067">
        <w:tc>
          <w:tcPr>
            <w:tcW w:w="2042" w:type="dxa"/>
            <w:shd w:val="clear" w:color="auto" w:fill="auto"/>
            <w:vAlign w:val="center"/>
          </w:tcPr>
          <w:p w14:paraId="1F24E5A4" w14:textId="77777777" w:rsidR="00AA7419" w:rsidRPr="00A4622D" w:rsidRDefault="00AA7419" w:rsidP="00213067">
            <w:pPr>
              <w:rPr>
                <w:rFonts w:cs="Arial"/>
                <w:b/>
                <w:sz w:val="20"/>
                <w:szCs w:val="20"/>
              </w:rPr>
            </w:pPr>
            <w:r w:rsidRPr="00A4622D">
              <w:rPr>
                <w:rFonts w:cs="Arial"/>
                <w:b/>
                <w:sz w:val="20"/>
                <w:szCs w:val="20"/>
              </w:rPr>
              <w:t>AP3</w:t>
            </w:r>
          </w:p>
        </w:tc>
        <w:tc>
          <w:tcPr>
            <w:tcW w:w="6671" w:type="dxa"/>
            <w:shd w:val="clear" w:color="auto" w:fill="auto"/>
          </w:tcPr>
          <w:p w14:paraId="658A76DA"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Adult prisoners</w:t>
            </w:r>
          </w:p>
        </w:tc>
      </w:tr>
      <w:tr w:rsidR="00AA7419" w:rsidRPr="00A4622D" w14:paraId="2B607E3A" w14:textId="77777777" w:rsidTr="00213067">
        <w:tc>
          <w:tcPr>
            <w:tcW w:w="2042" w:type="dxa"/>
            <w:shd w:val="clear" w:color="auto" w:fill="auto"/>
            <w:vAlign w:val="center"/>
          </w:tcPr>
          <w:p w14:paraId="3E3A879E" w14:textId="77777777" w:rsidR="00AA7419" w:rsidRPr="00A4622D" w:rsidRDefault="00AA7419" w:rsidP="00213067">
            <w:pPr>
              <w:rPr>
                <w:rFonts w:cs="Arial"/>
                <w:b/>
                <w:sz w:val="20"/>
                <w:szCs w:val="20"/>
              </w:rPr>
            </w:pPr>
            <w:r w:rsidRPr="00A4622D">
              <w:rPr>
                <w:rFonts w:cs="Arial"/>
                <w:b/>
                <w:sz w:val="20"/>
                <w:szCs w:val="20"/>
              </w:rPr>
              <w:t>YD3</w:t>
            </w:r>
          </w:p>
        </w:tc>
        <w:tc>
          <w:tcPr>
            <w:tcW w:w="6671" w:type="dxa"/>
            <w:shd w:val="clear" w:color="auto" w:fill="auto"/>
          </w:tcPr>
          <w:p w14:paraId="667180A1"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Youth in detention</w:t>
            </w:r>
          </w:p>
        </w:tc>
      </w:tr>
      <w:tr w:rsidR="00AA7419" w:rsidRPr="00A4622D" w14:paraId="7D5D89C8" w14:textId="77777777" w:rsidTr="00213067">
        <w:tc>
          <w:tcPr>
            <w:tcW w:w="2042" w:type="dxa"/>
            <w:shd w:val="clear" w:color="auto" w:fill="auto"/>
            <w:vAlign w:val="center"/>
          </w:tcPr>
          <w:p w14:paraId="2FD73377" w14:textId="77777777" w:rsidR="00AA7419" w:rsidRPr="00A4622D" w:rsidRDefault="00AA7419" w:rsidP="00213067">
            <w:pPr>
              <w:rPr>
                <w:rFonts w:cs="Arial"/>
                <w:sz w:val="20"/>
                <w:szCs w:val="20"/>
              </w:rPr>
            </w:pPr>
            <w:r w:rsidRPr="00A4622D">
              <w:rPr>
                <w:rFonts w:cs="Arial"/>
                <w:b/>
                <w:sz w:val="20"/>
                <w:szCs w:val="20"/>
              </w:rPr>
              <w:t>IT3</w:t>
            </w:r>
          </w:p>
        </w:tc>
        <w:tc>
          <w:tcPr>
            <w:tcW w:w="6671" w:type="dxa"/>
            <w:shd w:val="clear" w:color="auto" w:fill="auto"/>
          </w:tcPr>
          <w:p w14:paraId="6DDE1F24"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Indigenous VET Partnerships</w:t>
            </w:r>
          </w:p>
        </w:tc>
      </w:tr>
      <w:tr w:rsidR="00AA7419" w:rsidRPr="00A4622D" w14:paraId="4981225A" w14:textId="77777777" w:rsidTr="00213067">
        <w:tc>
          <w:tcPr>
            <w:tcW w:w="2042" w:type="dxa"/>
            <w:shd w:val="clear" w:color="auto" w:fill="auto"/>
            <w:vAlign w:val="center"/>
          </w:tcPr>
          <w:p w14:paraId="087BB878" w14:textId="77777777" w:rsidR="00AA7419" w:rsidRPr="00A4622D" w:rsidRDefault="00AA7419" w:rsidP="00213067">
            <w:pPr>
              <w:rPr>
                <w:rFonts w:cs="Arial"/>
                <w:sz w:val="20"/>
                <w:szCs w:val="20"/>
              </w:rPr>
            </w:pPr>
            <w:r w:rsidRPr="00A4622D">
              <w:rPr>
                <w:rFonts w:cs="Arial"/>
                <w:b/>
                <w:sz w:val="20"/>
                <w:szCs w:val="20"/>
              </w:rPr>
              <w:t>IP3</w:t>
            </w:r>
          </w:p>
        </w:tc>
        <w:tc>
          <w:tcPr>
            <w:tcW w:w="6671" w:type="dxa"/>
            <w:shd w:val="clear" w:color="auto" w:fill="auto"/>
          </w:tcPr>
          <w:p w14:paraId="0D607BFC"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Strategic Industry Initiatives</w:t>
            </w:r>
          </w:p>
        </w:tc>
      </w:tr>
      <w:tr w:rsidR="00AA7419" w:rsidRPr="00A4622D" w14:paraId="28BE4FC9" w14:textId="77777777" w:rsidTr="00213067">
        <w:tc>
          <w:tcPr>
            <w:tcW w:w="2042" w:type="dxa"/>
            <w:shd w:val="clear" w:color="auto" w:fill="auto"/>
            <w:vAlign w:val="center"/>
          </w:tcPr>
          <w:p w14:paraId="7A0FAC2F" w14:textId="77777777" w:rsidR="00AA7419" w:rsidRPr="00A4622D" w:rsidRDefault="00AA7419" w:rsidP="00213067">
            <w:pPr>
              <w:rPr>
                <w:rFonts w:cs="Arial"/>
                <w:b/>
                <w:sz w:val="20"/>
                <w:szCs w:val="20"/>
              </w:rPr>
            </w:pPr>
            <w:r w:rsidRPr="00A4622D">
              <w:rPr>
                <w:rFonts w:cs="Arial"/>
                <w:b/>
                <w:sz w:val="20"/>
                <w:szCs w:val="20"/>
              </w:rPr>
              <w:t>BW3</w:t>
            </w:r>
          </w:p>
        </w:tc>
        <w:tc>
          <w:tcPr>
            <w:tcW w:w="6671" w:type="dxa"/>
            <w:shd w:val="clear" w:color="auto" w:fill="auto"/>
          </w:tcPr>
          <w:p w14:paraId="464D90F1"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Back to Work (C3G Boost)</w:t>
            </w:r>
          </w:p>
        </w:tc>
      </w:tr>
    </w:tbl>
    <w:p w14:paraId="4279D743" w14:textId="77777777" w:rsidR="00AA7419" w:rsidRPr="00C2502A" w:rsidRDefault="00AA7419" w:rsidP="00A4622D">
      <w:pPr>
        <w:spacing w:before="120"/>
        <w:rPr>
          <w:rFonts w:cs="Arial"/>
          <w:b/>
          <w:szCs w:val="22"/>
        </w:rPr>
      </w:pPr>
      <w:r w:rsidRPr="00C2502A">
        <w:rPr>
          <w:rFonts w:cs="Arial"/>
          <w:b/>
          <w:szCs w:val="22"/>
        </w:rPr>
        <w:t>Table 2: Fund source codes — Higher Level Skills program</w:t>
      </w:r>
    </w:p>
    <w:p w14:paraId="57440CAA" w14:textId="77777777" w:rsidR="00AA7419" w:rsidRPr="00A4622D" w:rsidRDefault="00AA7419" w:rsidP="00AA7419">
      <w:pPr>
        <w:rPr>
          <w:rFonts w:cs="Arial"/>
          <w:b/>
          <w:sz w:val="20"/>
          <w:szCs w:val="20"/>
        </w:rPr>
      </w:pPr>
    </w:p>
    <w:p w14:paraId="68A6C21A" w14:textId="77777777" w:rsidR="00AA7419" w:rsidRPr="00A4622D" w:rsidRDefault="00AA7419" w:rsidP="00AA7419">
      <w:pPr>
        <w:rPr>
          <w:rFonts w:cs="Arial"/>
          <w:sz w:val="20"/>
          <w:szCs w:val="20"/>
        </w:rPr>
      </w:pPr>
      <w:r w:rsidRPr="00A4622D">
        <w:rPr>
          <w:rFonts w:cs="Arial"/>
          <w:sz w:val="20"/>
          <w:szCs w:val="20"/>
        </w:rPr>
        <w:t xml:space="preserve">PQS </w:t>
      </w:r>
      <w:r w:rsidRPr="00A4622D">
        <w:rPr>
          <w:rFonts w:cs="Arial"/>
          <w:b/>
          <w:sz w:val="20"/>
          <w:szCs w:val="20"/>
        </w:rPr>
        <w:t>must</w:t>
      </w:r>
      <w:r w:rsidRPr="00A4622D">
        <w:rPr>
          <w:rFonts w:cs="Arial"/>
          <w:sz w:val="20"/>
          <w:szCs w:val="20"/>
        </w:rPr>
        <w:t xml:space="preserve"> report the correct fund source code for the student enrolled under the Higher Level Skills delivery schedule (based on the eligibility rules for the cohort) from the list below:</w:t>
      </w:r>
    </w:p>
    <w:p w14:paraId="6071524F" w14:textId="77777777" w:rsidR="00AA7419" w:rsidRPr="00A4622D" w:rsidRDefault="00AA7419" w:rsidP="00AA7419">
      <w:pPr>
        <w:rPr>
          <w:rFonts w:cs="Arial"/>
          <w:b/>
          <w:sz w:val="20"/>
          <w:szCs w:val="20"/>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detailing fund source codes for the Higher Level Skills program."/>
      </w:tblPr>
      <w:tblGrid>
        <w:gridCol w:w="2043"/>
        <w:gridCol w:w="6671"/>
      </w:tblGrid>
      <w:tr w:rsidR="00AA7419" w:rsidRPr="00A4622D" w14:paraId="1DE005D4" w14:textId="77777777" w:rsidTr="00213067">
        <w:trPr>
          <w:tblHeader/>
        </w:trPr>
        <w:tc>
          <w:tcPr>
            <w:tcW w:w="2043" w:type="dxa"/>
            <w:shd w:val="clear" w:color="auto" w:fill="auto"/>
          </w:tcPr>
          <w:p w14:paraId="766F8BFE"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Fund source code</w:t>
            </w:r>
          </w:p>
        </w:tc>
        <w:tc>
          <w:tcPr>
            <w:tcW w:w="6671" w:type="dxa"/>
            <w:shd w:val="clear" w:color="auto" w:fill="auto"/>
          </w:tcPr>
          <w:p w14:paraId="305A93AC"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Applicable student cohort</w:t>
            </w:r>
          </w:p>
        </w:tc>
      </w:tr>
      <w:tr w:rsidR="00AA7419" w:rsidRPr="00A4622D" w14:paraId="1CB8F42B" w14:textId="77777777" w:rsidTr="00213067">
        <w:tc>
          <w:tcPr>
            <w:tcW w:w="2043" w:type="dxa"/>
            <w:shd w:val="clear" w:color="auto" w:fill="auto"/>
            <w:vAlign w:val="center"/>
          </w:tcPr>
          <w:p w14:paraId="364C4F69" w14:textId="77777777" w:rsidR="00AA7419" w:rsidRPr="00A4622D" w:rsidRDefault="00AA7419" w:rsidP="00213067">
            <w:pPr>
              <w:rPr>
                <w:rFonts w:cs="Arial"/>
                <w:sz w:val="20"/>
                <w:szCs w:val="20"/>
              </w:rPr>
            </w:pPr>
            <w:r w:rsidRPr="00A4622D">
              <w:rPr>
                <w:rFonts w:cs="Arial"/>
                <w:b/>
                <w:sz w:val="20"/>
                <w:szCs w:val="20"/>
              </w:rPr>
              <w:t>ENH</w:t>
            </w:r>
          </w:p>
        </w:tc>
        <w:tc>
          <w:tcPr>
            <w:tcW w:w="6671" w:type="dxa"/>
            <w:shd w:val="clear" w:color="auto" w:fill="auto"/>
          </w:tcPr>
          <w:p w14:paraId="288F4E3B"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Mainstream student</w:t>
            </w:r>
          </w:p>
        </w:tc>
      </w:tr>
      <w:tr w:rsidR="00AA7419" w:rsidRPr="00A4622D" w14:paraId="71272C69" w14:textId="77777777" w:rsidTr="00213067">
        <w:tc>
          <w:tcPr>
            <w:tcW w:w="2043" w:type="dxa"/>
            <w:shd w:val="clear" w:color="auto" w:fill="auto"/>
            <w:vAlign w:val="center"/>
          </w:tcPr>
          <w:p w14:paraId="7E7BDB13" w14:textId="77777777" w:rsidR="00AA7419" w:rsidRPr="00A4622D" w:rsidRDefault="00AA7419" w:rsidP="00213067">
            <w:pPr>
              <w:rPr>
                <w:rFonts w:cs="Arial"/>
                <w:sz w:val="20"/>
                <w:szCs w:val="20"/>
              </w:rPr>
            </w:pPr>
            <w:r w:rsidRPr="00A4622D">
              <w:rPr>
                <w:rFonts w:cs="Arial"/>
                <w:b/>
                <w:sz w:val="20"/>
                <w:szCs w:val="20"/>
              </w:rPr>
              <w:t>HLT</w:t>
            </w:r>
          </w:p>
        </w:tc>
        <w:tc>
          <w:tcPr>
            <w:tcW w:w="6671" w:type="dxa"/>
            <w:shd w:val="clear" w:color="auto" w:fill="auto"/>
          </w:tcPr>
          <w:p w14:paraId="709076B7"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Student accessing VET FEE-HELP / VET Student Loans</w:t>
            </w:r>
          </w:p>
        </w:tc>
      </w:tr>
      <w:tr w:rsidR="00AA7419" w:rsidRPr="00A4622D" w14:paraId="3A6220DD" w14:textId="77777777" w:rsidTr="00213067">
        <w:tc>
          <w:tcPr>
            <w:tcW w:w="2043" w:type="dxa"/>
            <w:shd w:val="clear" w:color="auto" w:fill="auto"/>
            <w:vAlign w:val="center"/>
          </w:tcPr>
          <w:p w14:paraId="06DFA193" w14:textId="77777777" w:rsidR="00AA7419" w:rsidRPr="00A4622D" w:rsidRDefault="00AA7419" w:rsidP="00213067">
            <w:pPr>
              <w:rPr>
                <w:rFonts w:cs="Arial"/>
                <w:b/>
                <w:sz w:val="20"/>
                <w:szCs w:val="20"/>
              </w:rPr>
            </w:pPr>
            <w:r w:rsidRPr="00A4622D">
              <w:rPr>
                <w:rFonts w:cs="Arial"/>
                <w:b/>
                <w:sz w:val="20"/>
                <w:szCs w:val="20"/>
              </w:rPr>
              <w:t>APH</w:t>
            </w:r>
          </w:p>
        </w:tc>
        <w:tc>
          <w:tcPr>
            <w:tcW w:w="6671" w:type="dxa"/>
            <w:shd w:val="clear" w:color="auto" w:fill="auto"/>
          </w:tcPr>
          <w:p w14:paraId="4C462765"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Adult prisoners</w:t>
            </w:r>
          </w:p>
        </w:tc>
      </w:tr>
      <w:tr w:rsidR="00AA7419" w:rsidRPr="00A4622D" w14:paraId="788A5F35" w14:textId="77777777" w:rsidTr="00213067">
        <w:tc>
          <w:tcPr>
            <w:tcW w:w="2043" w:type="dxa"/>
            <w:shd w:val="clear" w:color="auto" w:fill="auto"/>
            <w:vAlign w:val="center"/>
          </w:tcPr>
          <w:p w14:paraId="61938996" w14:textId="77777777" w:rsidR="00AA7419" w:rsidRPr="00A4622D" w:rsidRDefault="00AA7419" w:rsidP="00213067">
            <w:pPr>
              <w:rPr>
                <w:rFonts w:cs="Arial"/>
                <w:sz w:val="20"/>
                <w:szCs w:val="20"/>
              </w:rPr>
            </w:pPr>
            <w:r w:rsidRPr="00A4622D">
              <w:rPr>
                <w:rFonts w:cs="Arial"/>
                <w:b/>
                <w:sz w:val="20"/>
                <w:szCs w:val="20"/>
              </w:rPr>
              <w:t>ITH</w:t>
            </w:r>
          </w:p>
        </w:tc>
        <w:tc>
          <w:tcPr>
            <w:tcW w:w="6671" w:type="dxa"/>
            <w:shd w:val="clear" w:color="auto" w:fill="auto"/>
          </w:tcPr>
          <w:p w14:paraId="74122E62"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Indigenous VET Partnerships</w:t>
            </w:r>
          </w:p>
        </w:tc>
      </w:tr>
      <w:tr w:rsidR="00AA7419" w:rsidRPr="00A4622D" w14:paraId="2D41E09E" w14:textId="77777777" w:rsidTr="00213067">
        <w:tc>
          <w:tcPr>
            <w:tcW w:w="2043" w:type="dxa"/>
            <w:shd w:val="clear" w:color="auto" w:fill="auto"/>
            <w:vAlign w:val="center"/>
          </w:tcPr>
          <w:p w14:paraId="6F736CF6" w14:textId="77777777" w:rsidR="00AA7419" w:rsidRPr="00A4622D" w:rsidRDefault="00AA7419" w:rsidP="00213067">
            <w:pPr>
              <w:rPr>
                <w:rFonts w:cs="Arial"/>
                <w:b/>
                <w:sz w:val="20"/>
                <w:szCs w:val="20"/>
              </w:rPr>
            </w:pPr>
            <w:r w:rsidRPr="00A4622D">
              <w:rPr>
                <w:rFonts w:cs="Arial"/>
                <w:b/>
                <w:sz w:val="20"/>
                <w:szCs w:val="20"/>
              </w:rPr>
              <w:t>IPH</w:t>
            </w:r>
          </w:p>
        </w:tc>
        <w:tc>
          <w:tcPr>
            <w:tcW w:w="6671" w:type="dxa"/>
            <w:shd w:val="clear" w:color="auto" w:fill="auto"/>
          </w:tcPr>
          <w:p w14:paraId="3A280B2F" w14:textId="77777777" w:rsidR="00AA7419" w:rsidRPr="00A4622D" w:rsidRDefault="00AA7419" w:rsidP="00213067">
            <w:pPr>
              <w:tabs>
                <w:tab w:val="left" w:pos="0"/>
                <w:tab w:val="left" w:pos="543"/>
              </w:tabs>
              <w:spacing w:before="100" w:after="100"/>
              <w:rPr>
                <w:rFonts w:cs="Arial"/>
                <w:sz w:val="20"/>
                <w:szCs w:val="20"/>
              </w:rPr>
            </w:pPr>
            <w:r w:rsidRPr="00A4622D">
              <w:rPr>
                <w:rFonts w:cs="Arial"/>
                <w:sz w:val="20"/>
                <w:szCs w:val="20"/>
              </w:rPr>
              <w:t>Strategic Industry Initiatives</w:t>
            </w:r>
          </w:p>
        </w:tc>
      </w:tr>
    </w:tbl>
    <w:p w14:paraId="2D500E6A" w14:textId="77777777" w:rsidR="00AA7419" w:rsidRPr="00A4622D" w:rsidRDefault="00AA7419" w:rsidP="00AA7419">
      <w:pPr>
        <w:rPr>
          <w:rFonts w:cs="Arial"/>
          <w:b/>
          <w:sz w:val="20"/>
          <w:szCs w:val="20"/>
          <w:u w:val="single"/>
        </w:rPr>
      </w:pPr>
    </w:p>
    <w:p w14:paraId="7345B63F" w14:textId="77777777" w:rsidR="00AA7419" w:rsidRPr="00C2502A" w:rsidRDefault="00AA7419" w:rsidP="00C2502A">
      <w:pPr>
        <w:spacing w:before="120"/>
        <w:rPr>
          <w:rFonts w:cs="Arial"/>
          <w:b/>
          <w:szCs w:val="22"/>
        </w:rPr>
      </w:pPr>
      <w:r w:rsidRPr="00C2502A">
        <w:rPr>
          <w:rFonts w:cs="Arial"/>
          <w:b/>
          <w:szCs w:val="22"/>
        </w:rPr>
        <w:t>Table 3: Concessional or non-concessional identifier — all programs</w:t>
      </w:r>
    </w:p>
    <w:p w14:paraId="546D8280" w14:textId="77777777" w:rsidR="00AA7419" w:rsidRPr="00A4622D" w:rsidRDefault="00AA7419" w:rsidP="00AA7419">
      <w:pPr>
        <w:rPr>
          <w:rFonts w:cs="Arial"/>
          <w:b/>
          <w:sz w:val="20"/>
          <w:szCs w:val="20"/>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detailing fund source codes for all programs."/>
      </w:tblPr>
      <w:tblGrid>
        <w:gridCol w:w="2002"/>
        <w:gridCol w:w="6711"/>
      </w:tblGrid>
      <w:tr w:rsidR="00AA7419" w:rsidRPr="00A4622D" w14:paraId="5C41C6E0" w14:textId="77777777" w:rsidTr="00213067">
        <w:trPr>
          <w:tblHeader/>
        </w:trPr>
        <w:tc>
          <w:tcPr>
            <w:tcW w:w="2002" w:type="dxa"/>
            <w:shd w:val="clear" w:color="auto" w:fill="auto"/>
          </w:tcPr>
          <w:p w14:paraId="08344CD5"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Code</w:t>
            </w:r>
          </w:p>
        </w:tc>
        <w:tc>
          <w:tcPr>
            <w:tcW w:w="6711" w:type="dxa"/>
            <w:shd w:val="clear" w:color="auto" w:fill="auto"/>
          </w:tcPr>
          <w:p w14:paraId="5974432C"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Definition</w:t>
            </w:r>
          </w:p>
        </w:tc>
      </w:tr>
      <w:tr w:rsidR="00AA7419" w:rsidRPr="00A4622D" w14:paraId="1C83DA74" w14:textId="77777777" w:rsidTr="00213067">
        <w:tc>
          <w:tcPr>
            <w:tcW w:w="2002" w:type="dxa"/>
            <w:shd w:val="clear" w:color="auto" w:fill="auto"/>
            <w:vAlign w:val="center"/>
          </w:tcPr>
          <w:p w14:paraId="62775BAF"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C</w:t>
            </w:r>
          </w:p>
        </w:tc>
        <w:tc>
          <w:tcPr>
            <w:tcW w:w="6711" w:type="dxa"/>
            <w:shd w:val="clear" w:color="auto" w:fill="auto"/>
          </w:tcPr>
          <w:p w14:paraId="18054063" w14:textId="77777777" w:rsidR="00AA7419" w:rsidRPr="00A4622D" w:rsidRDefault="00AA7419" w:rsidP="00213067">
            <w:pPr>
              <w:tabs>
                <w:tab w:val="left" w:pos="0"/>
                <w:tab w:val="left" w:pos="543"/>
              </w:tabs>
              <w:spacing w:before="100" w:after="100"/>
              <w:rPr>
                <w:rFonts w:cs="Arial"/>
                <w:b/>
                <w:sz w:val="20"/>
                <w:szCs w:val="20"/>
              </w:rPr>
            </w:pPr>
            <w:r w:rsidRPr="00A4622D">
              <w:rPr>
                <w:rFonts w:cs="Arial"/>
                <w:sz w:val="20"/>
                <w:szCs w:val="20"/>
              </w:rPr>
              <w:t>Concessional student — meets eligibility criteria at enrolment for concessional status under the relevant program.</w:t>
            </w:r>
          </w:p>
        </w:tc>
      </w:tr>
      <w:tr w:rsidR="00AA7419" w:rsidRPr="00A4622D" w14:paraId="1AEE90D6" w14:textId="77777777" w:rsidTr="00213067">
        <w:tc>
          <w:tcPr>
            <w:tcW w:w="2002" w:type="dxa"/>
            <w:shd w:val="clear" w:color="auto" w:fill="auto"/>
            <w:vAlign w:val="center"/>
          </w:tcPr>
          <w:p w14:paraId="0960485F" w14:textId="77777777" w:rsidR="00AA7419" w:rsidRPr="00A4622D" w:rsidRDefault="00AA7419" w:rsidP="00213067">
            <w:pPr>
              <w:tabs>
                <w:tab w:val="left" w:pos="0"/>
                <w:tab w:val="left" w:pos="543"/>
              </w:tabs>
              <w:spacing w:before="100" w:after="100"/>
              <w:rPr>
                <w:rFonts w:cs="Arial"/>
                <w:b/>
                <w:sz w:val="20"/>
                <w:szCs w:val="20"/>
              </w:rPr>
            </w:pPr>
            <w:r w:rsidRPr="00A4622D">
              <w:rPr>
                <w:rFonts w:cs="Arial"/>
                <w:b/>
                <w:sz w:val="20"/>
                <w:szCs w:val="20"/>
              </w:rPr>
              <w:t>N</w:t>
            </w:r>
          </w:p>
        </w:tc>
        <w:tc>
          <w:tcPr>
            <w:tcW w:w="6711" w:type="dxa"/>
            <w:shd w:val="clear" w:color="auto" w:fill="auto"/>
          </w:tcPr>
          <w:p w14:paraId="4DC508C7" w14:textId="77777777" w:rsidR="00AA7419" w:rsidRPr="00A4622D" w:rsidRDefault="00AA7419" w:rsidP="00213067">
            <w:pPr>
              <w:tabs>
                <w:tab w:val="left" w:pos="0"/>
                <w:tab w:val="left" w:pos="543"/>
              </w:tabs>
              <w:spacing w:before="100" w:after="100"/>
              <w:rPr>
                <w:rFonts w:cs="Arial"/>
                <w:b/>
                <w:sz w:val="20"/>
                <w:szCs w:val="20"/>
              </w:rPr>
            </w:pPr>
            <w:r w:rsidRPr="00A4622D">
              <w:rPr>
                <w:rFonts w:cs="Arial"/>
                <w:sz w:val="20"/>
                <w:szCs w:val="20"/>
              </w:rPr>
              <w:t xml:space="preserve">Non-concessional student — does not meet eligibility criteria at enrolment for concessional status under the relevant program.  </w:t>
            </w:r>
          </w:p>
        </w:tc>
      </w:tr>
    </w:tbl>
    <w:p w14:paraId="4D3733B7" w14:textId="3F7C3983" w:rsidR="00AA7419" w:rsidRDefault="00AA7419" w:rsidP="00AA7419">
      <w:pPr>
        <w:rPr>
          <w:rFonts w:cs="Arial"/>
          <w:b/>
          <w:szCs w:val="22"/>
          <w:u w:val="single"/>
        </w:rPr>
      </w:pPr>
    </w:p>
    <w:p w14:paraId="1BB724AB" w14:textId="304E4C90" w:rsidR="00C2502A" w:rsidRDefault="00C2502A" w:rsidP="00AA7419">
      <w:pPr>
        <w:rPr>
          <w:rFonts w:cs="Arial"/>
          <w:b/>
          <w:szCs w:val="22"/>
          <w:u w:val="single"/>
        </w:rPr>
      </w:pPr>
    </w:p>
    <w:p w14:paraId="46DBFA91" w14:textId="539F7CDF" w:rsidR="00C2502A" w:rsidRDefault="00C2502A" w:rsidP="00AA7419">
      <w:pPr>
        <w:rPr>
          <w:rFonts w:cs="Arial"/>
          <w:b/>
          <w:szCs w:val="22"/>
          <w:u w:val="single"/>
        </w:rPr>
      </w:pPr>
    </w:p>
    <w:p w14:paraId="28864636" w14:textId="7AA7D39C" w:rsidR="00C2502A" w:rsidRDefault="00C2502A" w:rsidP="00AA7419">
      <w:pPr>
        <w:rPr>
          <w:rFonts w:cs="Arial"/>
          <w:b/>
          <w:szCs w:val="22"/>
          <w:u w:val="single"/>
        </w:rPr>
      </w:pPr>
    </w:p>
    <w:p w14:paraId="136E0362" w14:textId="4527A6A2" w:rsidR="00C2502A" w:rsidRDefault="00C2502A" w:rsidP="00AA7419">
      <w:pPr>
        <w:rPr>
          <w:rFonts w:cs="Arial"/>
          <w:b/>
          <w:szCs w:val="22"/>
          <w:u w:val="single"/>
        </w:rPr>
      </w:pPr>
    </w:p>
    <w:p w14:paraId="1D306FBE" w14:textId="4B1F3AD2" w:rsidR="00C2502A" w:rsidRDefault="00C2502A" w:rsidP="00AA7419">
      <w:pPr>
        <w:rPr>
          <w:rFonts w:cs="Arial"/>
          <w:b/>
          <w:szCs w:val="22"/>
          <w:u w:val="single"/>
        </w:rPr>
      </w:pPr>
    </w:p>
    <w:p w14:paraId="59C7C261" w14:textId="77777777" w:rsidR="00AA7419" w:rsidRPr="00075ADF" w:rsidRDefault="00AA7419" w:rsidP="00C2502A">
      <w:pPr>
        <w:spacing w:before="120"/>
        <w:rPr>
          <w:rFonts w:cs="Arial"/>
          <w:b/>
          <w:szCs w:val="22"/>
        </w:rPr>
      </w:pPr>
      <w:r w:rsidRPr="00F25078">
        <w:rPr>
          <w:rFonts w:cs="Arial"/>
          <w:b/>
          <w:szCs w:val="22"/>
        </w:rPr>
        <w:lastRenderedPageBreak/>
        <w:t>Table 4</w:t>
      </w:r>
      <w:r>
        <w:rPr>
          <w:rFonts w:cs="Arial"/>
          <w:b/>
          <w:szCs w:val="22"/>
        </w:rPr>
        <w:t xml:space="preserve">: </w:t>
      </w:r>
      <w:r w:rsidRPr="00075ADF">
        <w:rPr>
          <w:rFonts w:cs="Arial"/>
          <w:b/>
          <w:szCs w:val="22"/>
        </w:rPr>
        <w:t>VET activity outcome identifier and payment</w:t>
      </w:r>
    </w:p>
    <w:p w14:paraId="5F78E757" w14:textId="77777777" w:rsidR="00AA7419" w:rsidRPr="004C5473" w:rsidRDefault="00AA7419" w:rsidP="00AA7419">
      <w:pPr>
        <w:rPr>
          <w:rFonts w:cs="Arial"/>
          <w:b/>
        </w:rPr>
      </w:pPr>
    </w:p>
    <w:tbl>
      <w:tblPr>
        <w:tblW w:w="9213"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Table detailing VET activity outcome identifers and payments"/>
      </w:tblPr>
      <w:tblGrid>
        <w:gridCol w:w="1451"/>
        <w:gridCol w:w="6489"/>
        <w:gridCol w:w="1273"/>
      </w:tblGrid>
      <w:tr w:rsidR="00AA7419" w:rsidRPr="0066021C" w14:paraId="18ED1EB5" w14:textId="77777777" w:rsidTr="00213067">
        <w:trPr>
          <w:tblHeader/>
        </w:trPr>
        <w:tc>
          <w:tcPr>
            <w:tcW w:w="1451" w:type="dxa"/>
            <w:tcBorders>
              <w:top w:val="single" w:sz="4" w:space="0" w:color="auto"/>
              <w:left w:val="single" w:sz="4" w:space="0" w:color="auto"/>
              <w:bottom w:val="single" w:sz="4" w:space="0" w:color="auto"/>
            </w:tcBorders>
            <w:shd w:val="clear" w:color="auto" w:fill="auto"/>
            <w:vAlign w:val="center"/>
          </w:tcPr>
          <w:p w14:paraId="3C4FE838" w14:textId="77777777" w:rsidR="00AA7419" w:rsidRPr="0066021C" w:rsidRDefault="00AA7419" w:rsidP="00213067">
            <w:pPr>
              <w:tabs>
                <w:tab w:val="left" w:pos="0"/>
                <w:tab w:val="left" w:pos="543"/>
              </w:tabs>
              <w:spacing w:before="60" w:after="60"/>
              <w:rPr>
                <w:rFonts w:cs="Arial"/>
                <w:b/>
              </w:rPr>
            </w:pPr>
            <w:r w:rsidRPr="0066021C">
              <w:rPr>
                <w:rFonts w:cs="Arial"/>
                <w:b/>
              </w:rPr>
              <w:t xml:space="preserve">Outcome identifier </w:t>
            </w:r>
          </w:p>
        </w:tc>
        <w:tc>
          <w:tcPr>
            <w:tcW w:w="6489" w:type="dxa"/>
            <w:tcBorders>
              <w:top w:val="single" w:sz="4" w:space="0" w:color="auto"/>
              <w:bottom w:val="single" w:sz="4" w:space="0" w:color="auto"/>
            </w:tcBorders>
            <w:shd w:val="clear" w:color="auto" w:fill="auto"/>
            <w:vAlign w:val="center"/>
          </w:tcPr>
          <w:p w14:paraId="608C9099" w14:textId="77777777" w:rsidR="00AA7419" w:rsidRPr="0066021C" w:rsidRDefault="00AA7419" w:rsidP="00213067">
            <w:pPr>
              <w:tabs>
                <w:tab w:val="left" w:pos="0"/>
                <w:tab w:val="left" w:pos="543"/>
              </w:tabs>
              <w:spacing w:before="60" w:after="60"/>
              <w:rPr>
                <w:rFonts w:cs="Arial"/>
                <w:b/>
              </w:rPr>
            </w:pPr>
            <w:r w:rsidRPr="0066021C">
              <w:rPr>
                <w:rFonts w:cs="Arial"/>
                <w:b/>
              </w:rPr>
              <w:t xml:space="preserve">Description that applies to unit of competency/module </w:t>
            </w:r>
          </w:p>
          <w:p w14:paraId="0B9418C6" w14:textId="77777777" w:rsidR="00AA7419" w:rsidRPr="0066021C" w:rsidRDefault="00AA7419" w:rsidP="00213067">
            <w:pPr>
              <w:tabs>
                <w:tab w:val="left" w:pos="0"/>
                <w:tab w:val="left" w:pos="543"/>
              </w:tabs>
              <w:spacing w:before="60" w:after="60"/>
              <w:rPr>
                <w:rFonts w:eastAsiaTheme="minorEastAsia" w:cs="Arial"/>
                <w:lang w:eastAsia="zh-CN"/>
              </w:rPr>
            </w:pPr>
            <w:r w:rsidRPr="0066021C">
              <w:rPr>
                <w:rFonts w:cs="Arial"/>
              </w:rPr>
              <w:t>Refer</w:t>
            </w:r>
            <w:r w:rsidRPr="0066021C">
              <w:rPr>
                <w:rFonts w:eastAsiaTheme="minorEastAsia" w:cs="Arial"/>
                <w:lang w:eastAsia="zh-CN"/>
              </w:rPr>
              <w:t xml:space="preserve"> to </w:t>
            </w:r>
            <w:hyperlink r:id="rId17" w:history="1">
              <w:r w:rsidRPr="009E4472">
                <w:rPr>
                  <w:rStyle w:val="Hyperlink"/>
                  <w:rFonts w:eastAsiaTheme="minorEastAsia" w:cs="Arial"/>
                  <w:lang w:eastAsia="zh-CN"/>
                </w:rPr>
                <w:t>www.ncver.edu.au</w:t>
              </w:r>
            </w:hyperlink>
          </w:p>
        </w:tc>
        <w:tc>
          <w:tcPr>
            <w:tcW w:w="1273" w:type="dxa"/>
            <w:tcBorders>
              <w:top w:val="single" w:sz="4" w:space="0" w:color="auto"/>
              <w:bottom w:val="single" w:sz="4" w:space="0" w:color="auto"/>
              <w:right w:val="single" w:sz="4" w:space="0" w:color="auto"/>
            </w:tcBorders>
            <w:shd w:val="clear" w:color="auto" w:fill="auto"/>
            <w:vAlign w:val="center"/>
          </w:tcPr>
          <w:p w14:paraId="4B871994" w14:textId="77777777" w:rsidR="00AA7419" w:rsidRPr="0066021C" w:rsidRDefault="00AA7419" w:rsidP="00213067">
            <w:pPr>
              <w:tabs>
                <w:tab w:val="left" w:pos="0"/>
                <w:tab w:val="left" w:pos="543"/>
              </w:tabs>
              <w:spacing w:before="60" w:after="60"/>
              <w:rPr>
                <w:rFonts w:cs="Arial"/>
                <w:b/>
              </w:rPr>
            </w:pPr>
            <w:r w:rsidRPr="0066021C">
              <w:rPr>
                <w:rFonts w:cs="Arial"/>
                <w:b/>
              </w:rPr>
              <w:t xml:space="preserve">Maximum payment </w:t>
            </w:r>
          </w:p>
        </w:tc>
      </w:tr>
      <w:tr w:rsidR="00AA7419" w:rsidRPr="00C2502A" w14:paraId="02E29494" w14:textId="77777777" w:rsidTr="00213067">
        <w:tc>
          <w:tcPr>
            <w:tcW w:w="1451" w:type="dxa"/>
            <w:tcBorders>
              <w:left w:val="single" w:sz="4" w:space="0" w:color="auto"/>
            </w:tcBorders>
          </w:tcPr>
          <w:p w14:paraId="5BBFB45C" w14:textId="77777777" w:rsidR="00AA7419" w:rsidRPr="00C2502A" w:rsidRDefault="00AA7419" w:rsidP="00213067">
            <w:pPr>
              <w:spacing w:before="60" w:after="60"/>
              <w:rPr>
                <w:rFonts w:cs="Arial"/>
                <w:b/>
                <w:sz w:val="20"/>
                <w:szCs w:val="20"/>
              </w:rPr>
            </w:pPr>
            <w:r w:rsidRPr="00C2502A">
              <w:rPr>
                <w:rFonts w:cs="Arial"/>
                <w:b/>
                <w:sz w:val="20"/>
                <w:szCs w:val="20"/>
              </w:rPr>
              <w:t>20</w:t>
            </w:r>
          </w:p>
        </w:tc>
        <w:tc>
          <w:tcPr>
            <w:tcW w:w="6489" w:type="dxa"/>
          </w:tcPr>
          <w:p w14:paraId="64770682" w14:textId="77777777" w:rsidR="00AA7419" w:rsidRPr="00C2502A" w:rsidRDefault="00AA7419" w:rsidP="00213067">
            <w:pPr>
              <w:spacing w:before="60" w:after="60"/>
              <w:rPr>
                <w:rFonts w:eastAsiaTheme="minorEastAsia" w:cs="Arial"/>
                <w:sz w:val="20"/>
                <w:szCs w:val="20"/>
                <w:lang w:eastAsia="zh-CN"/>
              </w:rPr>
            </w:pPr>
            <w:r w:rsidRPr="00C2502A">
              <w:rPr>
                <w:rFonts w:cs="Arial"/>
                <w:sz w:val="20"/>
                <w:szCs w:val="20"/>
              </w:rPr>
              <w:t>Competency achieved/pass</w:t>
            </w:r>
            <w:r w:rsidRPr="00C2502A">
              <w:rPr>
                <w:rFonts w:eastAsiaTheme="minorEastAsia" w:cs="Arial"/>
                <w:sz w:val="20"/>
                <w:szCs w:val="20"/>
                <w:lang w:eastAsia="zh-CN"/>
              </w:rPr>
              <w:t xml:space="preserve"> </w:t>
            </w:r>
            <w:r w:rsidRPr="00C2502A">
              <w:rPr>
                <w:rFonts w:eastAsiaTheme="minorEastAsia" w:cs="Arial"/>
                <w:sz w:val="20"/>
                <w:szCs w:val="20"/>
                <w:lang w:eastAsia="zh-CN"/>
              </w:rPr>
              <w:br/>
              <w:t>(</w:t>
            </w:r>
            <w:r w:rsidRPr="00C2502A">
              <w:rPr>
                <w:rFonts w:cs="Arial"/>
                <w:sz w:val="20"/>
                <w:szCs w:val="20"/>
              </w:rPr>
              <w:t>i.e. sufficient evidence has been gathered that competency has been met/completed, as expressed by the relevant endorsed industry/enterprise competency standards of a training package or learning outcomes of an accredited course</w:t>
            </w:r>
            <w:r w:rsidRPr="00C2502A">
              <w:rPr>
                <w:rFonts w:eastAsiaTheme="minorEastAsia" w:cs="Arial"/>
                <w:sz w:val="20"/>
                <w:szCs w:val="20"/>
                <w:lang w:eastAsia="zh-CN"/>
              </w:rPr>
              <w:t>)</w:t>
            </w:r>
          </w:p>
        </w:tc>
        <w:tc>
          <w:tcPr>
            <w:tcW w:w="1273" w:type="dxa"/>
            <w:tcBorders>
              <w:right w:val="single" w:sz="4" w:space="0" w:color="auto"/>
            </w:tcBorders>
          </w:tcPr>
          <w:p w14:paraId="4541A84E"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100%</w:t>
            </w:r>
          </w:p>
        </w:tc>
      </w:tr>
      <w:tr w:rsidR="00AA7419" w:rsidRPr="00C2502A" w14:paraId="0FCB248B" w14:textId="77777777" w:rsidTr="00213067">
        <w:tc>
          <w:tcPr>
            <w:tcW w:w="1451" w:type="dxa"/>
            <w:tcBorders>
              <w:left w:val="single" w:sz="4" w:space="0" w:color="auto"/>
            </w:tcBorders>
            <w:vAlign w:val="center"/>
          </w:tcPr>
          <w:p w14:paraId="496A95E1" w14:textId="77777777" w:rsidR="00AA7419" w:rsidRPr="00C2502A" w:rsidRDefault="00AA7419" w:rsidP="00213067">
            <w:pPr>
              <w:spacing w:before="60" w:after="60"/>
              <w:rPr>
                <w:rFonts w:cs="Arial"/>
                <w:b/>
                <w:sz w:val="20"/>
                <w:szCs w:val="20"/>
              </w:rPr>
            </w:pPr>
            <w:r w:rsidRPr="00C2502A">
              <w:rPr>
                <w:rFonts w:cs="Arial"/>
                <w:b/>
                <w:sz w:val="20"/>
                <w:szCs w:val="20"/>
              </w:rPr>
              <w:t>30</w:t>
            </w:r>
          </w:p>
        </w:tc>
        <w:tc>
          <w:tcPr>
            <w:tcW w:w="6489" w:type="dxa"/>
          </w:tcPr>
          <w:p w14:paraId="1904C7B6" w14:textId="77777777" w:rsidR="00AA7419" w:rsidRPr="00C2502A" w:rsidRDefault="00AA7419" w:rsidP="00213067">
            <w:pPr>
              <w:spacing w:before="60" w:after="60"/>
              <w:rPr>
                <w:rFonts w:cs="Arial"/>
                <w:sz w:val="20"/>
                <w:szCs w:val="20"/>
              </w:rPr>
            </w:pPr>
            <w:r w:rsidRPr="00C2502A">
              <w:rPr>
                <w:rFonts w:cs="Arial"/>
                <w:sz w:val="20"/>
                <w:szCs w:val="20"/>
              </w:rPr>
              <w:t xml:space="preserve">Competency not achieved/fail </w:t>
            </w:r>
            <w:r w:rsidRPr="00C2502A">
              <w:rPr>
                <w:rFonts w:cs="Arial"/>
                <w:sz w:val="20"/>
                <w:szCs w:val="20"/>
              </w:rPr>
              <w:br/>
              <w:t>(i.e. where sufficient evidence has been retained to validate the supplier’s decision to report a student as not competent, or as not satisfying one or more of the requirements for the unit of competency/module)</w:t>
            </w:r>
          </w:p>
        </w:tc>
        <w:tc>
          <w:tcPr>
            <w:tcW w:w="1273" w:type="dxa"/>
            <w:tcBorders>
              <w:right w:val="single" w:sz="4" w:space="0" w:color="auto"/>
            </w:tcBorders>
          </w:tcPr>
          <w:p w14:paraId="676E5BF8"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100%</w:t>
            </w:r>
          </w:p>
        </w:tc>
      </w:tr>
      <w:tr w:rsidR="00AA7419" w:rsidRPr="00C2502A" w14:paraId="765438F0" w14:textId="77777777" w:rsidTr="00213067">
        <w:tc>
          <w:tcPr>
            <w:tcW w:w="1451" w:type="dxa"/>
            <w:tcBorders>
              <w:left w:val="single" w:sz="4" w:space="0" w:color="auto"/>
              <w:bottom w:val="single" w:sz="4" w:space="0" w:color="auto"/>
            </w:tcBorders>
            <w:shd w:val="clear" w:color="auto" w:fill="auto"/>
          </w:tcPr>
          <w:p w14:paraId="7F45AE1A" w14:textId="77777777" w:rsidR="00AA7419" w:rsidRPr="00C2502A" w:rsidRDefault="00AA7419" w:rsidP="00213067">
            <w:pPr>
              <w:spacing w:before="60" w:after="60"/>
              <w:rPr>
                <w:rFonts w:cs="Arial"/>
                <w:b/>
                <w:sz w:val="20"/>
                <w:szCs w:val="20"/>
              </w:rPr>
            </w:pPr>
            <w:r w:rsidRPr="00C2502A">
              <w:rPr>
                <w:rFonts w:cs="Arial"/>
                <w:b/>
                <w:sz w:val="20"/>
                <w:szCs w:val="20"/>
              </w:rPr>
              <w:t>40</w:t>
            </w:r>
          </w:p>
        </w:tc>
        <w:tc>
          <w:tcPr>
            <w:tcW w:w="6489" w:type="dxa"/>
            <w:tcBorders>
              <w:bottom w:val="single" w:sz="4" w:space="0" w:color="auto"/>
            </w:tcBorders>
            <w:shd w:val="clear" w:color="auto" w:fill="auto"/>
          </w:tcPr>
          <w:p w14:paraId="2F3511D5" w14:textId="77777777" w:rsidR="00AA7419" w:rsidRPr="00C2502A" w:rsidRDefault="00AA7419" w:rsidP="00213067">
            <w:pPr>
              <w:spacing w:before="60" w:after="60"/>
              <w:rPr>
                <w:rFonts w:cs="Arial"/>
                <w:sz w:val="20"/>
                <w:szCs w:val="20"/>
              </w:rPr>
            </w:pPr>
            <w:r w:rsidRPr="00C2502A">
              <w:rPr>
                <w:rFonts w:cs="Arial"/>
                <w:sz w:val="20"/>
                <w:szCs w:val="20"/>
              </w:rPr>
              <w:t>Withdrawn — the student has engaged in some learning activity and has then notified the PQS of their withdrawal before completing all the assessment criteria</w:t>
            </w:r>
            <w:r w:rsidRPr="00C2502A">
              <w:rPr>
                <w:rFonts w:cs="Arial"/>
                <w:i/>
                <w:sz w:val="20"/>
                <w:szCs w:val="20"/>
              </w:rPr>
              <w:t xml:space="preserve">; </w:t>
            </w:r>
            <w:r w:rsidRPr="00C2502A">
              <w:rPr>
                <w:rFonts w:cs="Arial"/>
                <w:sz w:val="20"/>
                <w:szCs w:val="20"/>
              </w:rPr>
              <w:t xml:space="preserve">or the student has engaged in some learning activity and then stopped attending or submitting assessments </w:t>
            </w:r>
            <w:r w:rsidRPr="00C2502A">
              <w:rPr>
                <w:rFonts w:cs="Arial"/>
                <w:sz w:val="20"/>
                <w:szCs w:val="20"/>
              </w:rPr>
              <w:br/>
              <w:t xml:space="preserve">(i.e. discontinues) without notifying the PQS (in this case the PQS should be satisfied the student will not return to complete the competency).  </w:t>
            </w:r>
          </w:p>
          <w:p w14:paraId="21F9F1EC" w14:textId="77777777" w:rsidR="00AA7419" w:rsidRPr="00C2502A" w:rsidRDefault="00AA7419" w:rsidP="00213067">
            <w:pPr>
              <w:spacing w:before="60" w:after="60"/>
              <w:rPr>
                <w:rFonts w:cs="Arial"/>
                <w:sz w:val="20"/>
                <w:szCs w:val="20"/>
              </w:rPr>
            </w:pPr>
            <w:r w:rsidRPr="00C2502A">
              <w:rPr>
                <w:rFonts w:cs="Arial"/>
                <w:b/>
                <w:sz w:val="20"/>
                <w:szCs w:val="20"/>
              </w:rPr>
              <w:t>Note</w:t>
            </w:r>
            <w:r w:rsidRPr="00C2502A">
              <w:rPr>
                <w:rFonts w:eastAsiaTheme="minorEastAsia" w:cs="Arial"/>
                <w:b/>
                <w:sz w:val="20"/>
                <w:szCs w:val="20"/>
                <w:lang w:eastAsia="zh-CN"/>
              </w:rPr>
              <w:t>s</w:t>
            </w:r>
            <w:r w:rsidRPr="00C2502A">
              <w:rPr>
                <w:rFonts w:cs="Arial"/>
                <w:b/>
                <w:sz w:val="20"/>
                <w:szCs w:val="20"/>
              </w:rPr>
              <w:t>:</w:t>
            </w:r>
            <w:r w:rsidRPr="00C2502A">
              <w:rPr>
                <w:rFonts w:cs="Arial"/>
                <w:sz w:val="20"/>
                <w:szCs w:val="20"/>
              </w:rPr>
              <w:t xml:space="preserve"> </w:t>
            </w:r>
          </w:p>
          <w:p w14:paraId="0CC2A089" w14:textId="77777777" w:rsidR="00AA7419" w:rsidRPr="00C2502A" w:rsidRDefault="00AA7419" w:rsidP="00AA7419">
            <w:pPr>
              <w:pStyle w:val="ListParagraph0"/>
              <w:numPr>
                <w:ilvl w:val="0"/>
                <w:numId w:val="26"/>
              </w:numPr>
              <w:spacing w:before="60" w:after="60" w:line="240" w:lineRule="auto"/>
              <w:contextualSpacing/>
              <w:rPr>
                <w:rFonts w:cs="Arial"/>
                <w:sz w:val="20"/>
                <w:szCs w:val="20"/>
              </w:rPr>
            </w:pPr>
            <w:r w:rsidRPr="00C2502A">
              <w:rPr>
                <w:rFonts w:cs="Arial"/>
                <w:sz w:val="20"/>
                <w:szCs w:val="20"/>
              </w:rPr>
              <w:t>PQS must be able to show evidence of student engagement in the training.</w:t>
            </w:r>
          </w:p>
          <w:p w14:paraId="21956B48" w14:textId="77777777" w:rsidR="00AA7419" w:rsidRPr="00C2502A" w:rsidRDefault="00AA7419" w:rsidP="00AA7419">
            <w:pPr>
              <w:pStyle w:val="ListParagraph0"/>
              <w:numPr>
                <w:ilvl w:val="0"/>
                <w:numId w:val="26"/>
              </w:numPr>
              <w:spacing w:before="60" w:after="60" w:line="240" w:lineRule="auto"/>
              <w:contextualSpacing/>
              <w:rPr>
                <w:rFonts w:cs="Arial"/>
                <w:sz w:val="20"/>
                <w:szCs w:val="20"/>
              </w:rPr>
            </w:pPr>
            <w:r w:rsidRPr="00C2502A">
              <w:rPr>
                <w:rFonts w:cs="Arial"/>
                <w:sz w:val="20"/>
                <w:szCs w:val="20"/>
              </w:rPr>
              <w:t xml:space="preserve">Where the PQS claimed a 40 outcome for a student (i.e. received 50% payment) and subsequently, for the same student and unit of competency/module, claimed an outcome that pays 100% (for example, 20 or 30 outcome) then — unless approved by the department — the PQS is only entitled to payment of the balance owing between the previous amount paid for the 40 outcome and the amount now due for the 100% claim. </w:t>
            </w:r>
            <w:r w:rsidRPr="00C2502A">
              <w:rPr>
                <w:rFonts w:eastAsiaTheme="minorEastAsia" w:cs="Arial"/>
                <w:sz w:val="20"/>
                <w:szCs w:val="20"/>
                <w:lang w:eastAsia="zh-CN"/>
              </w:rPr>
              <w:t>S</w:t>
            </w:r>
            <w:r w:rsidRPr="00C2502A">
              <w:rPr>
                <w:rFonts w:cs="Arial"/>
                <w:sz w:val="20"/>
                <w:szCs w:val="20"/>
              </w:rPr>
              <w:t>ee PQS Agreement, clause 8 overpayments.</w:t>
            </w:r>
          </w:p>
        </w:tc>
        <w:tc>
          <w:tcPr>
            <w:tcW w:w="1273" w:type="dxa"/>
            <w:tcBorders>
              <w:bottom w:val="single" w:sz="4" w:space="0" w:color="auto"/>
              <w:right w:val="single" w:sz="4" w:space="0" w:color="auto"/>
            </w:tcBorders>
            <w:shd w:val="clear" w:color="auto" w:fill="auto"/>
          </w:tcPr>
          <w:p w14:paraId="7C4175E1"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50%</w:t>
            </w:r>
          </w:p>
        </w:tc>
      </w:tr>
      <w:tr w:rsidR="00AA7419" w:rsidRPr="00C2502A" w14:paraId="188C820F" w14:textId="77777777" w:rsidTr="00213067">
        <w:tc>
          <w:tcPr>
            <w:tcW w:w="1451" w:type="dxa"/>
            <w:tcBorders>
              <w:left w:val="single" w:sz="4" w:space="0" w:color="auto"/>
              <w:bottom w:val="single" w:sz="4" w:space="0" w:color="auto"/>
            </w:tcBorders>
          </w:tcPr>
          <w:p w14:paraId="1819474D" w14:textId="77777777" w:rsidR="00AA7419" w:rsidRPr="00C2502A" w:rsidRDefault="00AA7419" w:rsidP="00213067">
            <w:pPr>
              <w:spacing w:before="60" w:after="60"/>
              <w:rPr>
                <w:rFonts w:cs="Arial"/>
                <w:b/>
                <w:sz w:val="20"/>
                <w:szCs w:val="20"/>
              </w:rPr>
            </w:pPr>
            <w:r w:rsidRPr="00C2502A">
              <w:rPr>
                <w:rFonts w:cs="Arial"/>
                <w:b/>
                <w:sz w:val="20"/>
                <w:szCs w:val="20"/>
              </w:rPr>
              <w:t>51</w:t>
            </w:r>
          </w:p>
        </w:tc>
        <w:tc>
          <w:tcPr>
            <w:tcW w:w="6489" w:type="dxa"/>
            <w:tcBorders>
              <w:bottom w:val="single" w:sz="4" w:space="0" w:color="auto"/>
            </w:tcBorders>
          </w:tcPr>
          <w:p w14:paraId="1CD10F0B" w14:textId="77777777" w:rsidR="00AA7419" w:rsidRPr="00C2502A" w:rsidRDefault="00AA7419" w:rsidP="00213067">
            <w:pPr>
              <w:spacing w:before="60" w:after="60"/>
              <w:rPr>
                <w:rFonts w:cs="Arial"/>
                <w:sz w:val="20"/>
                <w:szCs w:val="20"/>
              </w:rPr>
            </w:pPr>
            <w:r w:rsidRPr="00C2502A">
              <w:rPr>
                <w:rFonts w:cs="Arial"/>
                <w:sz w:val="20"/>
                <w:szCs w:val="20"/>
              </w:rPr>
              <w:t xml:space="preserve">Recognition of prior learning (RPL) — granted  </w:t>
            </w:r>
            <w:r w:rsidRPr="00C2502A">
              <w:rPr>
                <w:rFonts w:cs="Arial"/>
                <w:sz w:val="20"/>
                <w:szCs w:val="20"/>
              </w:rPr>
              <w:br/>
              <w:t>(i.e. evidence retained by the supplier must incorporate all of the assessments undertaken for the RPL process along with any other supporting documentation)</w:t>
            </w:r>
          </w:p>
          <w:p w14:paraId="1B3AEA12" w14:textId="77777777" w:rsidR="00AA7419" w:rsidRPr="00C2502A" w:rsidRDefault="00AA7419" w:rsidP="00213067">
            <w:pPr>
              <w:spacing w:before="60" w:after="60"/>
              <w:rPr>
                <w:rFonts w:eastAsiaTheme="minorEastAsia" w:cs="Arial"/>
                <w:sz w:val="20"/>
                <w:szCs w:val="20"/>
                <w:lang w:eastAsia="zh-CN"/>
              </w:rPr>
            </w:pPr>
            <w:r w:rsidRPr="00C2502A">
              <w:rPr>
                <w:rFonts w:cs="Arial"/>
                <w:b/>
                <w:sz w:val="20"/>
                <w:szCs w:val="20"/>
              </w:rPr>
              <w:t>Note:</w:t>
            </w:r>
            <w:r w:rsidRPr="00C2502A">
              <w:rPr>
                <w:rFonts w:cs="Arial"/>
                <w:sz w:val="20"/>
                <w:szCs w:val="20"/>
              </w:rPr>
              <w:t xml:space="preserve"> </w:t>
            </w:r>
            <w:r w:rsidRPr="00C2502A">
              <w:rPr>
                <w:rFonts w:eastAsiaTheme="minorEastAsia" w:cs="Arial"/>
                <w:sz w:val="20"/>
                <w:szCs w:val="20"/>
                <w:lang w:eastAsia="zh-CN"/>
              </w:rPr>
              <w:t>N</w:t>
            </w:r>
            <w:r w:rsidRPr="00C2502A">
              <w:rPr>
                <w:rFonts w:cs="Arial"/>
                <w:sz w:val="20"/>
                <w:szCs w:val="20"/>
              </w:rPr>
              <w:t>ot payable for foundation skills training and lower-level vocational qualifications (i.e. certificate levels I and II).</w:t>
            </w:r>
          </w:p>
        </w:tc>
        <w:tc>
          <w:tcPr>
            <w:tcW w:w="1273" w:type="dxa"/>
            <w:tcBorders>
              <w:bottom w:val="single" w:sz="4" w:space="0" w:color="auto"/>
              <w:right w:val="single" w:sz="4" w:space="0" w:color="auto"/>
            </w:tcBorders>
          </w:tcPr>
          <w:p w14:paraId="3E327C8C"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 xml:space="preserve">100% </w:t>
            </w:r>
          </w:p>
          <w:p w14:paraId="31E0CFB1" w14:textId="77777777" w:rsidR="00AA7419" w:rsidRPr="00C2502A" w:rsidRDefault="00AA7419" w:rsidP="00213067">
            <w:pPr>
              <w:tabs>
                <w:tab w:val="num" w:pos="432"/>
              </w:tabs>
              <w:spacing w:before="60" w:after="60"/>
              <w:rPr>
                <w:rFonts w:cs="Arial"/>
                <w:b/>
                <w:strike/>
                <w:sz w:val="20"/>
                <w:szCs w:val="20"/>
              </w:rPr>
            </w:pPr>
          </w:p>
        </w:tc>
      </w:tr>
      <w:tr w:rsidR="00AA7419" w:rsidRPr="00C2502A" w14:paraId="298C1AF6" w14:textId="77777777" w:rsidTr="00213067">
        <w:tc>
          <w:tcPr>
            <w:tcW w:w="1451" w:type="dxa"/>
            <w:tcBorders>
              <w:top w:val="single" w:sz="4" w:space="0" w:color="auto"/>
              <w:left w:val="single" w:sz="4" w:space="0" w:color="auto"/>
            </w:tcBorders>
            <w:vAlign w:val="center"/>
          </w:tcPr>
          <w:p w14:paraId="61663B3C" w14:textId="77777777" w:rsidR="00AA7419" w:rsidRPr="00C2502A" w:rsidRDefault="00AA7419" w:rsidP="00213067">
            <w:pPr>
              <w:spacing w:before="60" w:after="60"/>
              <w:rPr>
                <w:rFonts w:cs="Arial"/>
                <w:b/>
                <w:sz w:val="20"/>
                <w:szCs w:val="20"/>
              </w:rPr>
            </w:pPr>
            <w:r w:rsidRPr="00C2502A">
              <w:rPr>
                <w:rFonts w:cs="Arial"/>
                <w:b/>
                <w:sz w:val="20"/>
                <w:szCs w:val="20"/>
              </w:rPr>
              <w:t>52</w:t>
            </w:r>
          </w:p>
        </w:tc>
        <w:tc>
          <w:tcPr>
            <w:tcW w:w="6489" w:type="dxa"/>
            <w:tcBorders>
              <w:top w:val="single" w:sz="4" w:space="0" w:color="auto"/>
            </w:tcBorders>
          </w:tcPr>
          <w:p w14:paraId="29FB5912" w14:textId="77777777" w:rsidR="00AA7419" w:rsidRPr="00C2502A" w:rsidRDefault="00AA7419" w:rsidP="00213067">
            <w:pPr>
              <w:spacing w:before="60" w:after="60"/>
              <w:rPr>
                <w:rFonts w:cs="Arial"/>
                <w:sz w:val="20"/>
                <w:szCs w:val="20"/>
              </w:rPr>
            </w:pPr>
            <w:r w:rsidRPr="00C2502A">
              <w:rPr>
                <w:rFonts w:cs="Arial"/>
                <w:sz w:val="20"/>
                <w:szCs w:val="20"/>
              </w:rPr>
              <w:t>RPL — not granted</w:t>
            </w:r>
          </w:p>
        </w:tc>
        <w:tc>
          <w:tcPr>
            <w:tcW w:w="1273" w:type="dxa"/>
            <w:tcBorders>
              <w:top w:val="single" w:sz="4" w:space="0" w:color="auto"/>
              <w:right w:val="single" w:sz="4" w:space="0" w:color="auto"/>
            </w:tcBorders>
          </w:tcPr>
          <w:p w14:paraId="2A94CD13"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0%</w:t>
            </w:r>
          </w:p>
        </w:tc>
      </w:tr>
      <w:tr w:rsidR="00AA7419" w:rsidRPr="00C2502A" w14:paraId="4B63E408" w14:textId="77777777" w:rsidTr="00213067">
        <w:tc>
          <w:tcPr>
            <w:tcW w:w="1451" w:type="dxa"/>
            <w:tcBorders>
              <w:top w:val="single" w:sz="4" w:space="0" w:color="auto"/>
            </w:tcBorders>
          </w:tcPr>
          <w:p w14:paraId="7EF306A9" w14:textId="77777777" w:rsidR="00AA7419" w:rsidRPr="00C2502A" w:rsidRDefault="00AA7419" w:rsidP="00213067">
            <w:pPr>
              <w:spacing w:before="60" w:after="60"/>
              <w:rPr>
                <w:rFonts w:cs="Arial"/>
                <w:b/>
                <w:sz w:val="20"/>
                <w:szCs w:val="20"/>
              </w:rPr>
            </w:pPr>
            <w:r w:rsidRPr="00C2502A">
              <w:rPr>
                <w:rFonts w:cs="Arial"/>
                <w:b/>
                <w:sz w:val="20"/>
                <w:szCs w:val="20"/>
              </w:rPr>
              <w:t>60</w:t>
            </w:r>
          </w:p>
        </w:tc>
        <w:tc>
          <w:tcPr>
            <w:tcW w:w="6489" w:type="dxa"/>
            <w:tcBorders>
              <w:top w:val="single" w:sz="4" w:space="0" w:color="auto"/>
            </w:tcBorders>
          </w:tcPr>
          <w:p w14:paraId="4C53838B" w14:textId="77777777" w:rsidR="00AA7419" w:rsidRPr="00C2502A" w:rsidRDefault="00AA7419" w:rsidP="00213067">
            <w:pPr>
              <w:spacing w:before="60" w:after="60"/>
              <w:rPr>
                <w:rFonts w:cs="Arial"/>
                <w:sz w:val="20"/>
                <w:szCs w:val="20"/>
              </w:rPr>
            </w:pPr>
            <w:r w:rsidRPr="00C2502A">
              <w:rPr>
                <w:rFonts w:cs="Arial"/>
                <w:sz w:val="20"/>
                <w:szCs w:val="20"/>
              </w:rPr>
              <w:t>Credit transfer</w:t>
            </w:r>
          </w:p>
        </w:tc>
        <w:tc>
          <w:tcPr>
            <w:tcW w:w="1273" w:type="dxa"/>
            <w:tcBorders>
              <w:top w:val="single" w:sz="4" w:space="0" w:color="auto"/>
            </w:tcBorders>
          </w:tcPr>
          <w:p w14:paraId="3AEA58F8"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0%</w:t>
            </w:r>
          </w:p>
        </w:tc>
      </w:tr>
      <w:tr w:rsidR="00AA7419" w:rsidRPr="00C2502A" w14:paraId="49F4561D" w14:textId="77777777" w:rsidTr="00213067">
        <w:tc>
          <w:tcPr>
            <w:tcW w:w="1451" w:type="dxa"/>
          </w:tcPr>
          <w:p w14:paraId="522FDAC0" w14:textId="77777777" w:rsidR="00AA7419" w:rsidRPr="00C2502A" w:rsidRDefault="00AA7419" w:rsidP="00213067">
            <w:pPr>
              <w:spacing w:before="60" w:after="60"/>
              <w:rPr>
                <w:rFonts w:cs="Arial"/>
                <w:b/>
                <w:sz w:val="20"/>
                <w:szCs w:val="20"/>
              </w:rPr>
            </w:pPr>
            <w:r w:rsidRPr="00C2502A">
              <w:rPr>
                <w:rFonts w:cs="Arial"/>
                <w:b/>
                <w:sz w:val="20"/>
                <w:szCs w:val="20"/>
              </w:rPr>
              <w:t xml:space="preserve">65 </w:t>
            </w:r>
          </w:p>
          <w:p w14:paraId="10E7DB68" w14:textId="77777777" w:rsidR="00AA7419" w:rsidRPr="00C2502A" w:rsidRDefault="00AA7419" w:rsidP="00213067">
            <w:pPr>
              <w:spacing w:before="60" w:after="60"/>
              <w:rPr>
                <w:rFonts w:cs="Arial"/>
                <w:sz w:val="20"/>
                <w:szCs w:val="20"/>
              </w:rPr>
            </w:pPr>
            <w:r w:rsidRPr="00C2502A">
              <w:rPr>
                <w:rFonts w:cs="Arial"/>
                <w:sz w:val="20"/>
                <w:szCs w:val="20"/>
              </w:rPr>
              <w:t>(department code)</w:t>
            </w:r>
          </w:p>
        </w:tc>
        <w:tc>
          <w:tcPr>
            <w:tcW w:w="6489" w:type="dxa"/>
          </w:tcPr>
          <w:p w14:paraId="29D8EE96" w14:textId="77777777" w:rsidR="00AA7419" w:rsidRPr="00C2502A" w:rsidRDefault="00AA7419" w:rsidP="00213067">
            <w:pPr>
              <w:spacing w:before="60" w:after="60"/>
              <w:rPr>
                <w:rFonts w:eastAsiaTheme="minorEastAsia" w:cs="Arial"/>
                <w:sz w:val="20"/>
                <w:szCs w:val="20"/>
                <w:highlight w:val="yellow"/>
                <w:lang w:eastAsia="zh-CN"/>
              </w:rPr>
            </w:pPr>
            <w:r w:rsidRPr="00C2502A">
              <w:rPr>
                <w:rFonts w:cs="Arial"/>
                <w:sz w:val="20"/>
                <w:szCs w:val="20"/>
              </w:rPr>
              <w:t>Transitional Gap Training — this payment code is only to be reported where a student is transitioning from a superseded qualification into a new qualification or previously completed competencies have been superseded, and the new competencies do not directly map, therefore necessitating gap training and assessment to address the variance in the new competencies. The RTO can report this outcome code, in recognition of delivery, to generate payment against the relevant PQS Agreement for the new competencies.</w:t>
            </w:r>
          </w:p>
        </w:tc>
        <w:tc>
          <w:tcPr>
            <w:tcW w:w="1273" w:type="dxa"/>
          </w:tcPr>
          <w:p w14:paraId="0245C71D"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5%</w:t>
            </w:r>
          </w:p>
        </w:tc>
      </w:tr>
      <w:tr w:rsidR="00AA7419" w:rsidRPr="00C2502A" w14:paraId="68987127" w14:textId="77777777" w:rsidTr="00213067">
        <w:tc>
          <w:tcPr>
            <w:tcW w:w="1451" w:type="dxa"/>
          </w:tcPr>
          <w:p w14:paraId="3D986151" w14:textId="77777777" w:rsidR="00AA7419" w:rsidRPr="00C2502A" w:rsidRDefault="00AA7419" w:rsidP="00213067">
            <w:pPr>
              <w:spacing w:before="60" w:after="60"/>
              <w:rPr>
                <w:rFonts w:cs="Arial"/>
                <w:b/>
                <w:sz w:val="20"/>
                <w:szCs w:val="20"/>
              </w:rPr>
            </w:pPr>
            <w:r w:rsidRPr="00C2502A">
              <w:rPr>
                <w:rFonts w:cs="Arial"/>
                <w:b/>
                <w:sz w:val="20"/>
                <w:szCs w:val="20"/>
              </w:rPr>
              <w:t>70</w:t>
            </w:r>
          </w:p>
        </w:tc>
        <w:tc>
          <w:tcPr>
            <w:tcW w:w="6489" w:type="dxa"/>
          </w:tcPr>
          <w:p w14:paraId="19DA358C" w14:textId="77777777" w:rsidR="00AA7419" w:rsidRPr="00C2502A" w:rsidRDefault="00AA7419" w:rsidP="00213067">
            <w:pPr>
              <w:spacing w:before="60" w:after="60"/>
              <w:rPr>
                <w:rFonts w:cs="Arial"/>
                <w:sz w:val="20"/>
                <w:szCs w:val="20"/>
              </w:rPr>
            </w:pPr>
            <w:r w:rsidRPr="00C2502A">
              <w:rPr>
                <w:rFonts w:cs="Arial"/>
                <w:sz w:val="20"/>
                <w:szCs w:val="20"/>
              </w:rPr>
              <w:t>Continuing activity</w:t>
            </w:r>
          </w:p>
        </w:tc>
        <w:tc>
          <w:tcPr>
            <w:tcW w:w="1273" w:type="dxa"/>
          </w:tcPr>
          <w:p w14:paraId="6344FC85"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0%</w:t>
            </w:r>
          </w:p>
        </w:tc>
      </w:tr>
      <w:tr w:rsidR="00AA7419" w:rsidRPr="00C2502A" w14:paraId="2CB2AF28" w14:textId="77777777" w:rsidTr="00213067">
        <w:tc>
          <w:tcPr>
            <w:tcW w:w="1451" w:type="dxa"/>
          </w:tcPr>
          <w:p w14:paraId="3B39C228" w14:textId="77777777" w:rsidR="00AA7419" w:rsidRPr="00C2502A" w:rsidRDefault="00AA7419" w:rsidP="00213067">
            <w:pPr>
              <w:spacing w:before="60" w:after="60"/>
              <w:rPr>
                <w:rFonts w:cs="Arial"/>
                <w:b/>
                <w:sz w:val="20"/>
                <w:szCs w:val="20"/>
              </w:rPr>
            </w:pPr>
            <w:r w:rsidRPr="00C2502A">
              <w:rPr>
                <w:rFonts w:cs="Arial"/>
                <w:b/>
                <w:sz w:val="20"/>
                <w:szCs w:val="20"/>
              </w:rPr>
              <w:t>81</w:t>
            </w:r>
          </w:p>
        </w:tc>
        <w:tc>
          <w:tcPr>
            <w:tcW w:w="6489" w:type="dxa"/>
          </w:tcPr>
          <w:p w14:paraId="31DA3BF8" w14:textId="77777777" w:rsidR="00AA7419" w:rsidRPr="00C2502A" w:rsidRDefault="00AA7419" w:rsidP="00213067">
            <w:pPr>
              <w:spacing w:before="60" w:after="60"/>
              <w:rPr>
                <w:rFonts w:cs="Arial"/>
                <w:sz w:val="20"/>
                <w:szCs w:val="20"/>
              </w:rPr>
            </w:pPr>
            <w:bookmarkStart w:id="4" w:name="eXC_Paragraph_1399"/>
            <w:r w:rsidRPr="00C2502A">
              <w:rPr>
                <w:rFonts w:cs="Arial"/>
                <w:bCs/>
                <w:sz w:val="20"/>
                <w:szCs w:val="20"/>
              </w:rPr>
              <w:t xml:space="preserve">Non-assessable activity </w:t>
            </w:r>
            <w:r w:rsidRPr="00C2502A">
              <w:rPr>
                <w:rFonts w:cs="Arial"/>
                <w:sz w:val="20"/>
                <w:szCs w:val="20"/>
              </w:rPr>
              <w:t>— s</w:t>
            </w:r>
            <w:r w:rsidRPr="00C2502A">
              <w:rPr>
                <w:rFonts w:cs="Arial"/>
                <w:bCs/>
                <w:sz w:val="20"/>
                <w:szCs w:val="20"/>
              </w:rPr>
              <w:t>atisfactorily completed</w:t>
            </w:r>
            <w:bookmarkEnd w:id="4"/>
          </w:p>
        </w:tc>
        <w:tc>
          <w:tcPr>
            <w:tcW w:w="1273" w:type="dxa"/>
          </w:tcPr>
          <w:p w14:paraId="1C3B5EDB"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0%</w:t>
            </w:r>
          </w:p>
        </w:tc>
      </w:tr>
      <w:tr w:rsidR="00AA7419" w:rsidRPr="00C2502A" w14:paraId="2B30D558" w14:textId="77777777" w:rsidTr="00213067">
        <w:tc>
          <w:tcPr>
            <w:tcW w:w="1451" w:type="dxa"/>
          </w:tcPr>
          <w:p w14:paraId="5DF662D4" w14:textId="77777777" w:rsidR="00AA7419" w:rsidRPr="00C2502A" w:rsidRDefault="00AA7419" w:rsidP="00213067">
            <w:pPr>
              <w:spacing w:before="60" w:after="60"/>
              <w:rPr>
                <w:rFonts w:cs="Arial"/>
                <w:b/>
                <w:sz w:val="20"/>
                <w:szCs w:val="20"/>
              </w:rPr>
            </w:pPr>
            <w:r w:rsidRPr="00C2502A">
              <w:rPr>
                <w:rFonts w:cs="Arial"/>
                <w:b/>
                <w:sz w:val="20"/>
                <w:szCs w:val="20"/>
              </w:rPr>
              <w:t>82</w:t>
            </w:r>
          </w:p>
        </w:tc>
        <w:tc>
          <w:tcPr>
            <w:tcW w:w="6489" w:type="dxa"/>
          </w:tcPr>
          <w:p w14:paraId="503A3BED" w14:textId="77777777" w:rsidR="00AA7419" w:rsidRPr="00C2502A" w:rsidRDefault="00AA7419" w:rsidP="00213067">
            <w:pPr>
              <w:spacing w:before="60" w:after="60"/>
              <w:rPr>
                <w:rFonts w:cs="Arial"/>
                <w:sz w:val="20"/>
                <w:szCs w:val="20"/>
              </w:rPr>
            </w:pPr>
            <w:bookmarkStart w:id="5" w:name="eXC_Paragraph_1405"/>
            <w:r w:rsidRPr="00C2502A">
              <w:rPr>
                <w:rFonts w:cs="Arial"/>
                <w:sz w:val="20"/>
                <w:szCs w:val="20"/>
              </w:rPr>
              <w:t xml:space="preserve">Non-assessable activity </w:t>
            </w:r>
            <w:bookmarkEnd w:id="5"/>
            <w:r w:rsidRPr="00C2502A">
              <w:rPr>
                <w:rFonts w:cs="Arial"/>
                <w:bCs/>
                <w:sz w:val="20"/>
                <w:szCs w:val="20"/>
              </w:rPr>
              <w:t>— withdrawn or not satisfactorily completed</w:t>
            </w:r>
          </w:p>
        </w:tc>
        <w:tc>
          <w:tcPr>
            <w:tcW w:w="1273" w:type="dxa"/>
          </w:tcPr>
          <w:p w14:paraId="6519D5ED"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0%</w:t>
            </w:r>
          </w:p>
        </w:tc>
      </w:tr>
      <w:tr w:rsidR="00AA7419" w:rsidRPr="00C2502A" w14:paraId="13CE4BF8" w14:textId="77777777" w:rsidTr="00213067">
        <w:tc>
          <w:tcPr>
            <w:tcW w:w="1451" w:type="dxa"/>
          </w:tcPr>
          <w:p w14:paraId="0B754832" w14:textId="77777777" w:rsidR="00AA7419" w:rsidRPr="00C2502A" w:rsidRDefault="00AA7419" w:rsidP="00213067">
            <w:pPr>
              <w:spacing w:before="60" w:after="60"/>
              <w:rPr>
                <w:rFonts w:cs="Arial"/>
                <w:b/>
                <w:sz w:val="20"/>
                <w:szCs w:val="20"/>
              </w:rPr>
            </w:pPr>
            <w:r w:rsidRPr="00C2502A">
              <w:rPr>
                <w:rFonts w:cs="Arial"/>
                <w:b/>
                <w:sz w:val="20"/>
                <w:szCs w:val="20"/>
              </w:rPr>
              <w:t>85</w:t>
            </w:r>
          </w:p>
        </w:tc>
        <w:tc>
          <w:tcPr>
            <w:tcW w:w="6489" w:type="dxa"/>
          </w:tcPr>
          <w:p w14:paraId="2D5F549F" w14:textId="77777777" w:rsidR="00AA7419" w:rsidRPr="00C2502A" w:rsidRDefault="00AA7419" w:rsidP="00213067">
            <w:pPr>
              <w:spacing w:before="60" w:after="60"/>
              <w:rPr>
                <w:rFonts w:cs="Arial"/>
                <w:sz w:val="20"/>
                <w:szCs w:val="20"/>
              </w:rPr>
            </w:pPr>
            <w:r w:rsidRPr="00C2502A">
              <w:rPr>
                <w:rFonts w:cs="Arial"/>
                <w:sz w:val="20"/>
                <w:szCs w:val="20"/>
              </w:rPr>
              <w:t>Not yet started</w:t>
            </w:r>
          </w:p>
        </w:tc>
        <w:tc>
          <w:tcPr>
            <w:tcW w:w="1273" w:type="dxa"/>
          </w:tcPr>
          <w:p w14:paraId="7B5275CC" w14:textId="77777777" w:rsidR="00AA7419" w:rsidRDefault="00AA7419" w:rsidP="00213067">
            <w:pPr>
              <w:tabs>
                <w:tab w:val="num" w:pos="432"/>
              </w:tabs>
              <w:spacing w:before="60" w:after="60"/>
              <w:rPr>
                <w:rFonts w:cs="Arial"/>
                <w:sz w:val="20"/>
                <w:szCs w:val="20"/>
              </w:rPr>
            </w:pPr>
            <w:r w:rsidRPr="00C2502A">
              <w:rPr>
                <w:rFonts w:cs="Arial"/>
                <w:sz w:val="20"/>
                <w:szCs w:val="20"/>
              </w:rPr>
              <w:t>0%</w:t>
            </w:r>
          </w:p>
          <w:p w14:paraId="3D3E22EA" w14:textId="6118466C" w:rsidR="00C2502A" w:rsidRPr="00C2502A" w:rsidRDefault="00C2502A" w:rsidP="00213067">
            <w:pPr>
              <w:tabs>
                <w:tab w:val="num" w:pos="432"/>
              </w:tabs>
              <w:spacing w:before="60" w:after="60"/>
              <w:rPr>
                <w:rFonts w:cs="Arial"/>
                <w:sz w:val="20"/>
                <w:szCs w:val="20"/>
              </w:rPr>
            </w:pPr>
          </w:p>
        </w:tc>
      </w:tr>
      <w:tr w:rsidR="00AA7419" w:rsidRPr="00C2502A" w14:paraId="7051E203" w14:textId="77777777" w:rsidTr="00213067">
        <w:tc>
          <w:tcPr>
            <w:tcW w:w="1451" w:type="dxa"/>
          </w:tcPr>
          <w:p w14:paraId="6C451E37" w14:textId="77777777" w:rsidR="00AA7419" w:rsidRPr="00C2502A" w:rsidRDefault="00AA7419" w:rsidP="00213067">
            <w:pPr>
              <w:spacing w:before="60" w:after="60"/>
              <w:rPr>
                <w:rFonts w:cs="Arial"/>
                <w:b/>
                <w:sz w:val="20"/>
                <w:szCs w:val="20"/>
              </w:rPr>
            </w:pPr>
            <w:r w:rsidRPr="00C2502A">
              <w:rPr>
                <w:rFonts w:cs="Arial"/>
                <w:b/>
                <w:sz w:val="20"/>
                <w:szCs w:val="20"/>
              </w:rPr>
              <w:lastRenderedPageBreak/>
              <w:t>90</w:t>
            </w:r>
          </w:p>
        </w:tc>
        <w:tc>
          <w:tcPr>
            <w:tcW w:w="6489" w:type="dxa"/>
          </w:tcPr>
          <w:p w14:paraId="32A51BDE" w14:textId="77777777" w:rsidR="00AA7419" w:rsidRPr="00C2502A" w:rsidRDefault="00AA7419" w:rsidP="00213067">
            <w:pPr>
              <w:spacing w:before="60" w:after="60"/>
              <w:rPr>
                <w:rFonts w:cs="Arial"/>
                <w:sz w:val="20"/>
                <w:szCs w:val="20"/>
              </w:rPr>
            </w:pPr>
            <w:r w:rsidRPr="00C2502A">
              <w:rPr>
                <w:rFonts w:eastAsiaTheme="minorEastAsia" w:cs="Arial"/>
                <w:sz w:val="20"/>
                <w:szCs w:val="20"/>
                <w:lang w:eastAsia="zh-CN"/>
              </w:rPr>
              <w:t>E</w:t>
            </w:r>
            <w:r w:rsidRPr="00C2502A">
              <w:rPr>
                <w:rFonts w:cs="Arial"/>
                <w:sz w:val="20"/>
                <w:szCs w:val="20"/>
              </w:rPr>
              <w:t>nrolment is in current collection period</w:t>
            </w:r>
          </w:p>
          <w:p w14:paraId="032ADF1B" w14:textId="77777777" w:rsidR="00AA7419" w:rsidRPr="00C2502A" w:rsidRDefault="00AA7419" w:rsidP="00213067">
            <w:pPr>
              <w:spacing w:before="60" w:after="60"/>
              <w:rPr>
                <w:rFonts w:cs="Arial"/>
                <w:sz w:val="20"/>
                <w:szCs w:val="20"/>
              </w:rPr>
            </w:pPr>
            <w:r w:rsidRPr="00C2502A">
              <w:rPr>
                <w:rFonts w:cs="Arial"/>
                <w:b/>
                <w:sz w:val="20"/>
                <w:szCs w:val="20"/>
              </w:rPr>
              <w:t xml:space="preserve">Note: </w:t>
            </w:r>
            <w:r w:rsidRPr="00C2502A">
              <w:rPr>
                <w:rFonts w:cs="Arial"/>
                <w:sz w:val="20"/>
                <w:szCs w:val="20"/>
              </w:rPr>
              <w:t>not applicable from AVETMISS 8 release</w:t>
            </w:r>
          </w:p>
        </w:tc>
        <w:tc>
          <w:tcPr>
            <w:tcW w:w="1273" w:type="dxa"/>
          </w:tcPr>
          <w:p w14:paraId="1EBDBEEA" w14:textId="77777777" w:rsidR="00AA7419" w:rsidRPr="00C2502A" w:rsidRDefault="00AA7419" w:rsidP="00213067">
            <w:pPr>
              <w:tabs>
                <w:tab w:val="num" w:pos="432"/>
              </w:tabs>
              <w:spacing w:before="60" w:after="60"/>
              <w:rPr>
                <w:rFonts w:cs="Arial"/>
                <w:sz w:val="20"/>
                <w:szCs w:val="20"/>
              </w:rPr>
            </w:pPr>
            <w:r w:rsidRPr="00C2502A">
              <w:rPr>
                <w:rFonts w:cs="Arial"/>
                <w:sz w:val="20"/>
                <w:szCs w:val="20"/>
              </w:rPr>
              <w:t>0%</w:t>
            </w:r>
          </w:p>
        </w:tc>
      </w:tr>
    </w:tbl>
    <w:p w14:paraId="1058771E" w14:textId="77777777" w:rsidR="00AA7419" w:rsidRPr="00C2502A" w:rsidRDefault="00AA7419" w:rsidP="00AA7419">
      <w:pPr>
        <w:rPr>
          <w:rFonts w:cs="Arial"/>
          <w:b/>
          <w:sz w:val="20"/>
          <w:szCs w:val="20"/>
        </w:rPr>
      </w:pPr>
    </w:p>
    <w:p w14:paraId="2CDE6E46" w14:textId="77777777" w:rsidR="00AA7419" w:rsidRPr="00C2502A" w:rsidRDefault="00AA7419" w:rsidP="00AA7419">
      <w:pPr>
        <w:rPr>
          <w:rFonts w:cs="Arial"/>
          <w:sz w:val="20"/>
          <w:szCs w:val="20"/>
        </w:rPr>
      </w:pPr>
      <w:r w:rsidRPr="00C2502A">
        <w:rPr>
          <w:rFonts w:cs="Arial"/>
          <w:b/>
          <w:sz w:val="20"/>
          <w:szCs w:val="20"/>
        </w:rPr>
        <w:t>Note:</w:t>
      </w:r>
      <w:r w:rsidRPr="00C2502A">
        <w:rPr>
          <w:rFonts w:cs="Arial"/>
          <w:b/>
          <w:i/>
          <w:sz w:val="20"/>
          <w:szCs w:val="20"/>
        </w:rPr>
        <w:t xml:space="preserve"> </w:t>
      </w:r>
      <w:r w:rsidRPr="00C2502A">
        <w:rPr>
          <w:rFonts w:eastAsiaTheme="minorEastAsia" w:cs="Arial" w:hint="eastAsia"/>
          <w:sz w:val="20"/>
          <w:szCs w:val="20"/>
          <w:lang w:eastAsia="zh-CN"/>
        </w:rPr>
        <w:t>T</w:t>
      </w:r>
      <w:r w:rsidRPr="00C2502A">
        <w:rPr>
          <w:rFonts w:cs="Arial"/>
          <w:sz w:val="20"/>
          <w:szCs w:val="20"/>
        </w:rPr>
        <w:t>he use of outcome identifier codes must be in accordance with the current AVETMISS release with the exception of outcome code 65 which is defined by the department.</w:t>
      </w:r>
    </w:p>
    <w:p w14:paraId="6C394BFE" w14:textId="77777777" w:rsidR="00AA7419" w:rsidRPr="00650238" w:rsidRDefault="00AA7419" w:rsidP="00AA7419">
      <w:pPr>
        <w:pStyle w:val="Header1policy"/>
        <w:numPr>
          <w:ilvl w:val="0"/>
          <w:numId w:val="0"/>
        </w:numPr>
        <w:ind w:left="360" w:hanging="360"/>
        <w:outlineLvl w:val="0"/>
      </w:pPr>
      <w:r w:rsidRPr="004C5473">
        <w:rPr>
          <w:color w:val="000000"/>
        </w:rPr>
        <w:br w:type="page"/>
      </w:r>
      <w:r w:rsidRPr="00650238">
        <w:lastRenderedPageBreak/>
        <w:t xml:space="preserve">Appendix </w:t>
      </w:r>
      <w:r>
        <w:t>6:</w:t>
      </w:r>
      <w:r w:rsidRPr="00650238">
        <w:t xml:space="preserve"> Training and assessment services not funded</w:t>
      </w:r>
    </w:p>
    <w:p w14:paraId="6D2543EF" w14:textId="77777777" w:rsidR="00AA7419" w:rsidRDefault="00AA7419" w:rsidP="00AA7419">
      <w:pPr>
        <w:rPr>
          <w:rFonts w:cs="Arial"/>
          <w:b/>
          <w:szCs w:val="22"/>
          <w:u w:val="single"/>
        </w:rPr>
      </w:pPr>
    </w:p>
    <w:p w14:paraId="49AC20FC" w14:textId="77777777" w:rsidR="00AA7419" w:rsidRPr="00075ADF" w:rsidRDefault="00AA7419" w:rsidP="00AA7419">
      <w:pPr>
        <w:rPr>
          <w:rFonts w:cs="Arial"/>
          <w:b/>
          <w:szCs w:val="22"/>
        </w:rPr>
      </w:pPr>
      <w:r w:rsidRPr="00F25078">
        <w:rPr>
          <w:rFonts w:cs="Arial"/>
          <w:b/>
          <w:szCs w:val="22"/>
        </w:rPr>
        <w:t>Table 5</w:t>
      </w:r>
      <w:r>
        <w:rPr>
          <w:rFonts w:cs="Arial"/>
          <w:b/>
          <w:szCs w:val="22"/>
        </w:rPr>
        <w:t>: No payment to apply</w:t>
      </w:r>
    </w:p>
    <w:p w14:paraId="6B7A3272" w14:textId="77777777" w:rsidR="00AA7419" w:rsidRPr="005362B6" w:rsidRDefault="00AA7419" w:rsidP="00AA7419">
      <w:pPr>
        <w:rPr>
          <w:rFonts w:cs="Arial"/>
          <w:b/>
        </w:rPr>
      </w:pP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8" w:space="0" w:color="auto"/>
        </w:tblBorders>
        <w:tblLook w:val="0000" w:firstRow="0" w:lastRow="0" w:firstColumn="0" w:lastColumn="0" w:noHBand="0" w:noVBand="0"/>
        <w:tblDescription w:val="Table detailing training and assessment services not funded"/>
      </w:tblPr>
      <w:tblGrid>
        <w:gridCol w:w="7406"/>
        <w:gridCol w:w="1466"/>
      </w:tblGrid>
      <w:tr w:rsidR="00AA7419" w:rsidRPr="00075ADF" w14:paraId="4A9908EE" w14:textId="77777777" w:rsidTr="00213067">
        <w:trPr>
          <w:tblHeader/>
        </w:trPr>
        <w:tc>
          <w:tcPr>
            <w:tcW w:w="4174" w:type="pct"/>
            <w:shd w:val="clear" w:color="auto" w:fill="auto"/>
          </w:tcPr>
          <w:p w14:paraId="49EE2385" w14:textId="77777777" w:rsidR="00AA7419" w:rsidRPr="00075ADF" w:rsidRDefault="00AA7419" w:rsidP="00213067">
            <w:pPr>
              <w:pStyle w:val="TableColumnHeading"/>
              <w:spacing w:before="40" w:after="40"/>
              <w:jc w:val="left"/>
              <w:rPr>
                <w:rFonts w:ascii="Arial" w:hAnsi="Arial" w:cs="Arial"/>
                <w:snapToGrid w:val="0"/>
              </w:rPr>
            </w:pPr>
            <w:r w:rsidRPr="00075ADF">
              <w:rPr>
                <w:rFonts w:ascii="Arial" w:hAnsi="Arial" w:cs="Arial"/>
              </w:rPr>
              <w:t>Service provision</w:t>
            </w:r>
          </w:p>
        </w:tc>
        <w:tc>
          <w:tcPr>
            <w:tcW w:w="826" w:type="pct"/>
            <w:shd w:val="clear" w:color="auto" w:fill="auto"/>
          </w:tcPr>
          <w:p w14:paraId="4FD57291" w14:textId="77777777" w:rsidR="00AA7419" w:rsidRPr="00075ADF" w:rsidRDefault="00AA7419" w:rsidP="00213067">
            <w:pPr>
              <w:pStyle w:val="TableColumnHeading"/>
              <w:spacing w:before="40" w:after="40"/>
              <w:jc w:val="left"/>
              <w:rPr>
                <w:rFonts w:ascii="Arial" w:hAnsi="Arial" w:cs="Arial"/>
                <w:snapToGrid w:val="0"/>
              </w:rPr>
            </w:pPr>
            <w:r w:rsidRPr="00075ADF">
              <w:rPr>
                <w:rFonts w:ascii="Arial" w:hAnsi="Arial" w:cs="Arial"/>
              </w:rPr>
              <w:t>Payment conditions</w:t>
            </w:r>
          </w:p>
        </w:tc>
      </w:tr>
      <w:tr w:rsidR="00AA7419" w:rsidRPr="00075ADF" w14:paraId="133CE05E" w14:textId="77777777" w:rsidTr="00213067">
        <w:tc>
          <w:tcPr>
            <w:tcW w:w="4174" w:type="pct"/>
          </w:tcPr>
          <w:p w14:paraId="6BF86DA5"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Delivery of any unit of competency or module through RPL under a foundation skills/LLN course</w:t>
            </w:r>
            <w:r>
              <w:rPr>
                <w:rFonts w:ascii="Arial" w:hAnsi="Arial" w:cs="Arial"/>
              </w:rPr>
              <w:t xml:space="preserve"> or</w:t>
            </w:r>
            <w:r w:rsidRPr="00075ADF">
              <w:rPr>
                <w:rFonts w:ascii="Arial" w:hAnsi="Arial" w:cs="Arial"/>
              </w:rPr>
              <w:t xml:space="preserve"> certificate I </w:t>
            </w:r>
            <w:r>
              <w:rPr>
                <w:rFonts w:ascii="Arial" w:hAnsi="Arial" w:cs="Arial"/>
              </w:rPr>
              <w:t xml:space="preserve">and II </w:t>
            </w:r>
            <w:r w:rsidRPr="00075ADF">
              <w:rPr>
                <w:rFonts w:ascii="Arial" w:hAnsi="Arial" w:cs="Arial"/>
              </w:rPr>
              <w:t>level vocational qualification</w:t>
            </w:r>
            <w:r>
              <w:rPr>
                <w:rFonts w:ascii="Arial" w:hAnsi="Arial" w:cs="Arial"/>
              </w:rPr>
              <w:t>s.</w:t>
            </w:r>
          </w:p>
        </w:tc>
        <w:tc>
          <w:tcPr>
            <w:tcW w:w="826" w:type="pct"/>
          </w:tcPr>
          <w:p w14:paraId="34935551"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0267789C" w14:textId="77777777" w:rsidTr="00213067">
        <w:tc>
          <w:tcPr>
            <w:tcW w:w="4174" w:type="pct"/>
          </w:tcPr>
          <w:p w14:paraId="217824C2"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Provision of training and assessment services to a student beyond the </w:t>
            </w:r>
            <w:r w:rsidRPr="00445A65">
              <w:rPr>
                <w:rFonts w:ascii="Arial" w:hAnsi="Arial" w:cs="Arial"/>
              </w:rPr>
              <w:t xml:space="preserve">prescribed period, as specified in ASQA’s General Direction — Learner Transition and clauses 1.26/1.27 of the </w:t>
            </w:r>
            <w:r w:rsidRPr="00445A65">
              <w:rPr>
                <w:rFonts w:ascii="Arial" w:hAnsi="Arial" w:cs="Arial"/>
                <w:i/>
              </w:rPr>
              <w:t>Standards for Registered Training Organisations (RTOs) 2015</w:t>
            </w:r>
            <w:r w:rsidRPr="00445A65">
              <w:rPr>
                <w:rFonts w:ascii="Arial" w:hAnsi="Arial" w:cs="Arial"/>
              </w:rPr>
              <w:t xml:space="preserve"> (as superseded, replaced or amended from time to time) for that superseded qualification</w:t>
            </w:r>
            <w:r>
              <w:rPr>
                <w:rFonts w:ascii="Arial" w:hAnsi="Arial" w:cs="Arial"/>
              </w:rPr>
              <w:t>.</w:t>
            </w:r>
            <w:r w:rsidRPr="00075ADF">
              <w:rPr>
                <w:rFonts w:ascii="Arial" w:hAnsi="Arial" w:cs="Arial"/>
              </w:rPr>
              <w:t xml:space="preserve"> </w:t>
            </w:r>
          </w:p>
        </w:tc>
        <w:tc>
          <w:tcPr>
            <w:tcW w:w="826" w:type="pct"/>
          </w:tcPr>
          <w:p w14:paraId="1926D935"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20F51837" w14:textId="77777777" w:rsidTr="00213067">
        <w:tc>
          <w:tcPr>
            <w:tcW w:w="4174" w:type="pct"/>
          </w:tcPr>
          <w:p w14:paraId="568AAE8B"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Provision of training and assessment services to a student who was enrolled after the transition end date specified for the relevant qualification</w:t>
            </w:r>
            <w:r>
              <w:rPr>
                <w:rFonts w:ascii="Arial" w:hAnsi="Arial" w:cs="Arial"/>
              </w:rPr>
              <w:t>.</w:t>
            </w:r>
            <w:r w:rsidRPr="00075ADF">
              <w:rPr>
                <w:rFonts w:ascii="Arial" w:hAnsi="Arial" w:cs="Arial"/>
              </w:rPr>
              <w:t xml:space="preserve"> </w:t>
            </w:r>
          </w:p>
        </w:tc>
        <w:tc>
          <w:tcPr>
            <w:tcW w:w="826" w:type="pct"/>
          </w:tcPr>
          <w:p w14:paraId="2156FB58"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 xml:space="preserve">No payment </w:t>
            </w:r>
          </w:p>
        </w:tc>
      </w:tr>
      <w:tr w:rsidR="00AA7419" w:rsidRPr="00075ADF" w14:paraId="7B49C796" w14:textId="77777777" w:rsidTr="00213067">
        <w:tc>
          <w:tcPr>
            <w:tcW w:w="4174" w:type="pct"/>
          </w:tcPr>
          <w:p w14:paraId="75AEC720"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Provision of training and assessment services where the PQS has not complied with all requirements in the PQS Agreement and this policy</w:t>
            </w:r>
            <w:r>
              <w:rPr>
                <w:rFonts w:ascii="Arial" w:hAnsi="Arial" w:cs="Arial"/>
              </w:rPr>
              <w:t>.</w:t>
            </w:r>
          </w:p>
        </w:tc>
        <w:tc>
          <w:tcPr>
            <w:tcW w:w="826" w:type="pct"/>
          </w:tcPr>
          <w:p w14:paraId="4D1A0BF6"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7BD4A16A" w14:textId="77777777" w:rsidTr="00213067">
        <w:tc>
          <w:tcPr>
            <w:tcW w:w="4174" w:type="pct"/>
          </w:tcPr>
          <w:p w14:paraId="587AC2EC"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Provision of training and assessment services to a student in excess of the maximum payable </w:t>
            </w:r>
            <w:r>
              <w:rPr>
                <w:rFonts w:ascii="Arial" w:hAnsi="Arial" w:cs="Arial"/>
              </w:rPr>
              <w:t>c</w:t>
            </w:r>
            <w:r w:rsidRPr="00075ADF">
              <w:rPr>
                <w:rFonts w:ascii="Arial" w:hAnsi="Arial" w:cs="Arial"/>
              </w:rPr>
              <w:t xml:space="preserve">ompetency </w:t>
            </w:r>
            <w:r>
              <w:rPr>
                <w:rFonts w:ascii="Arial" w:hAnsi="Arial" w:cs="Arial"/>
              </w:rPr>
              <w:t>c</w:t>
            </w:r>
            <w:r w:rsidRPr="00075ADF">
              <w:rPr>
                <w:rFonts w:ascii="Arial" w:hAnsi="Arial" w:cs="Arial"/>
              </w:rPr>
              <w:t xml:space="preserve">ount specified in the </w:t>
            </w:r>
            <w:r>
              <w:rPr>
                <w:rFonts w:ascii="Arial" w:hAnsi="Arial" w:cs="Arial"/>
              </w:rPr>
              <w:t>Priority Skills List</w:t>
            </w:r>
            <w:r w:rsidRPr="00075ADF">
              <w:rPr>
                <w:rFonts w:ascii="Arial" w:hAnsi="Arial" w:cs="Arial"/>
              </w:rPr>
              <w:t xml:space="preserve">, irrespective of whether or not the </w:t>
            </w:r>
            <w:r>
              <w:rPr>
                <w:rFonts w:ascii="Arial" w:hAnsi="Arial" w:cs="Arial"/>
              </w:rPr>
              <w:t>s</w:t>
            </w:r>
            <w:r w:rsidRPr="00075ADF">
              <w:rPr>
                <w:rFonts w:ascii="Arial" w:hAnsi="Arial" w:cs="Arial"/>
              </w:rPr>
              <w:t xml:space="preserve">tudent received training or assessment against the </w:t>
            </w:r>
            <w:r>
              <w:rPr>
                <w:rFonts w:ascii="Arial" w:hAnsi="Arial" w:cs="Arial"/>
              </w:rPr>
              <w:t>c</w:t>
            </w:r>
            <w:r w:rsidRPr="00075ADF">
              <w:rPr>
                <w:rFonts w:ascii="Arial" w:hAnsi="Arial" w:cs="Arial"/>
              </w:rPr>
              <w:t xml:space="preserve">ompetency </w:t>
            </w:r>
            <w:r>
              <w:rPr>
                <w:rFonts w:ascii="Arial" w:hAnsi="Arial" w:cs="Arial"/>
              </w:rPr>
              <w:t>c</w:t>
            </w:r>
            <w:r w:rsidRPr="00075ADF">
              <w:rPr>
                <w:rFonts w:ascii="Arial" w:hAnsi="Arial" w:cs="Arial"/>
              </w:rPr>
              <w:t>ount for the relevant qualification from another RTO or PQS</w:t>
            </w:r>
            <w:r>
              <w:rPr>
                <w:rFonts w:ascii="Arial" w:hAnsi="Arial" w:cs="Arial"/>
              </w:rPr>
              <w:t>.</w:t>
            </w:r>
          </w:p>
        </w:tc>
        <w:tc>
          <w:tcPr>
            <w:tcW w:w="826" w:type="pct"/>
          </w:tcPr>
          <w:p w14:paraId="7894B445"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743969A4" w14:textId="77777777" w:rsidTr="00213067">
        <w:tc>
          <w:tcPr>
            <w:tcW w:w="4174" w:type="pct"/>
          </w:tcPr>
          <w:p w14:paraId="27416482"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Provision of training and assessment services that are not reported within the timeframe specified in this policy. </w:t>
            </w:r>
            <w:r w:rsidRPr="00E64C87">
              <w:rPr>
                <w:rFonts w:ascii="Arial" w:hAnsi="Arial" w:cs="Arial"/>
                <w:b/>
              </w:rPr>
              <w:t>Note:</w:t>
            </w:r>
            <w:r w:rsidRPr="00075ADF">
              <w:rPr>
                <w:rFonts w:ascii="Arial" w:hAnsi="Arial" w:cs="Arial"/>
              </w:rPr>
              <w:t xml:space="preserve"> PQS must still report this provision to the department</w:t>
            </w:r>
            <w:r>
              <w:rPr>
                <w:rFonts w:ascii="Arial" w:hAnsi="Arial" w:cs="Arial"/>
              </w:rPr>
              <w:t>.</w:t>
            </w:r>
          </w:p>
        </w:tc>
        <w:tc>
          <w:tcPr>
            <w:tcW w:w="826" w:type="pct"/>
          </w:tcPr>
          <w:p w14:paraId="12B99297"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1B13A9C0" w14:textId="77777777" w:rsidTr="00213067">
        <w:tc>
          <w:tcPr>
            <w:tcW w:w="4174" w:type="pct"/>
          </w:tcPr>
          <w:p w14:paraId="5996C105"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Training and assessment services provided to a </w:t>
            </w:r>
            <w:r>
              <w:rPr>
                <w:rFonts w:ascii="Arial" w:hAnsi="Arial" w:cs="Arial"/>
              </w:rPr>
              <w:t>s</w:t>
            </w:r>
            <w:r w:rsidRPr="00075ADF">
              <w:rPr>
                <w:rFonts w:ascii="Arial" w:hAnsi="Arial" w:cs="Arial"/>
              </w:rPr>
              <w:t xml:space="preserve">tudent who has previously been assessed as competent for the same </w:t>
            </w:r>
            <w:r>
              <w:rPr>
                <w:rFonts w:ascii="Arial" w:hAnsi="Arial" w:cs="Arial"/>
              </w:rPr>
              <w:t>u</w:t>
            </w:r>
            <w:r w:rsidRPr="00075ADF">
              <w:rPr>
                <w:rFonts w:ascii="Arial" w:hAnsi="Arial" w:cs="Arial"/>
              </w:rPr>
              <w:t xml:space="preserve">nit of </w:t>
            </w:r>
            <w:r>
              <w:rPr>
                <w:rFonts w:ascii="Arial" w:hAnsi="Arial" w:cs="Arial"/>
              </w:rPr>
              <w:t>c</w:t>
            </w:r>
            <w:r w:rsidRPr="00075ADF">
              <w:rPr>
                <w:rFonts w:ascii="Arial" w:hAnsi="Arial" w:cs="Arial"/>
              </w:rPr>
              <w:t xml:space="preserve">ompetency or </w:t>
            </w:r>
            <w:r>
              <w:rPr>
                <w:rFonts w:ascii="Arial" w:hAnsi="Arial" w:cs="Arial"/>
              </w:rPr>
              <w:t>m</w:t>
            </w:r>
            <w:r w:rsidRPr="00075ADF">
              <w:rPr>
                <w:rFonts w:ascii="Arial" w:hAnsi="Arial" w:cs="Arial"/>
              </w:rPr>
              <w:t>odule</w:t>
            </w:r>
            <w:r>
              <w:rPr>
                <w:rFonts w:ascii="Arial" w:hAnsi="Arial" w:cs="Arial"/>
              </w:rPr>
              <w:t>.</w:t>
            </w:r>
          </w:p>
        </w:tc>
        <w:tc>
          <w:tcPr>
            <w:tcW w:w="826" w:type="pct"/>
          </w:tcPr>
          <w:p w14:paraId="0777D42E"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00197D3E" w14:textId="77777777" w:rsidTr="00213067">
        <w:tc>
          <w:tcPr>
            <w:tcW w:w="4174" w:type="pct"/>
          </w:tcPr>
          <w:p w14:paraId="5C63F7B3"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Provision of training and assessment services to a student for whom the PQS is not approved by the department to deliver training and assessment services </w:t>
            </w:r>
            <w:r>
              <w:rPr>
                <w:rFonts w:ascii="Arial" w:hAnsi="Arial" w:cs="Arial"/>
              </w:rPr>
              <w:t xml:space="preserve">to </w:t>
            </w:r>
            <w:r w:rsidRPr="00075ADF">
              <w:rPr>
                <w:rFonts w:ascii="Arial" w:hAnsi="Arial" w:cs="Arial"/>
              </w:rPr>
              <w:t xml:space="preserve">under the </w:t>
            </w:r>
            <w:r>
              <w:rPr>
                <w:rFonts w:ascii="Arial" w:hAnsi="Arial" w:cs="Arial"/>
              </w:rPr>
              <w:t>p</w:t>
            </w:r>
            <w:r w:rsidRPr="00075ADF">
              <w:rPr>
                <w:rFonts w:ascii="Arial" w:hAnsi="Arial" w:cs="Arial"/>
              </w:rPr>
              <w:t>rogram</w:t>
            </w:r>
            <w:r>
              <w:rPr>
                <w:rFonts w:ascii="Arial" w:hAnsi="Arial" w:cs="Arial"/>
              </w:rPr>
              <w:t>.</w:t>
            </w:r>
          </w:p>
        </w:tc>
        <w:tc>
          <w:tcPr>
            <w:tcW w:w="826" w:type="pct"/>
          </w:tcPr>
          <w:p w14:paraId="02227CC7"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2DB265E4" w14:textId="77777777" w:rsidTr="00213067">
        <w:tc>
          <w:tcPr>
            <w:tcW w:w="4174" w:type="pct"/>
          </w:tcPr>
          <w:p w14:paraId="6CE667AC"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Training and assessment services provided to a student where the PQS has received funding or payment in relation to those services from any other source</w:t>
            </w:r>
            <w:r>
              <w:rPr>
                <w:rFonts w:ascii="Arial" w:hAnsi="Arial" w:cs="Arial"/>
              </w:rPr>
              <w:t>.</w:t>
            </w:r>
          </w:p>
        </w:tc>
        <w:tc>
          <w:tcPr>
            <w:tcW w:w="826" w:type="pct"/>
          </w:tcPr>
          <w:p w14:paraId="5E243281"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60C8BACD" w14:textId="77777777" w:rsidTr="00213067">
        <w:tc>
          <w:tcPr>
            <w:tcW w:w="4174" w:type="pct"/>
          </w:tcPr>
          <w:p w14:paraId="2FFBAC4D"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Provision of training and assessment services in a qualification </w:t>
            </w:r>
            <w:r>
              <w:rPr>
                <w:rFonts w:ascii="Arial" w:hAnsi="Arial" w:cs="Arial"/>
              </w:rPr>
              <w:t xml:space="preserve">or course </w:t>
            </w:r>
            <w:r w:rsidRPr="00075ADF">
              <w:rPr>
                <w:rFonts w:ascii="Arial" w:hAnsi="Arial" w:cs="Arial"/>
              </w:rPr>
              <w:t xml:space="preserve">for which the PQS does not hold authorisation from the department to deliver under the program. This may include enrolling a student before the start date specified in the department’s letter of authority to the PQS, or before the variation request to add the qualification to the PQS’s program approval </w:t>
            </w:r>
            <w:r>
              <w:rPr>
                <w:rFonts w:ascii="Arial" w:hAnsi="Arial" w:cs="Arial"/>
              </w:rPr>
              <w:t xml:space="preserve">or delivery schedule </w:t>
            </w:r>
            <w:r w:rsidRPr="00075ADF">
              <w:rPr>
                <w:rFonts w:ascii="Arial" w:hAnsi="Arial" w:cs="Arial"/>
              </w:rPr>
              <w:t xml:space="preserve">has been </w:t>
            </w:r>
            <w:r>
              <w:rPr>
                <w:rFonts w:ascii="Arial" w:hAnsi="Arial" w:cs="Arial"/>
              </w:rPr>
              <w:t>approved</w:t>
            </w:r>
            <w:r w:rsidRPr="00075ADF">
              <w:rPr>
                <w:rFonts w:ascii="Arial" w:hAnsi="Arial" w:cs="Arial"/>
              </w:rPr>
              <w:t xml:space="preserve"> by the department</w:t>
            </w:r>
            <w:r>
              <w:rPr>
                <w:rFonts w:ascii="Arial" w:hAnsi="Arial" w:cs="Arial"/>
              </w:rPr>
              <w:t>.</w:t>
            </w:r>
          </w:p>
        </w:tc>
        <w:tc>
          <w:tcPr>
            <w:tcW w:w="826" w:type="pct"/>
          </w:tcPr>
          <w:p w14:paraId="650DE2F5"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2E180D02" w14:textId="77777777" w:rsidTr="00213067">
        <w:tc>
          <w:tcPr>
            <w:tcW w:w="4174" w:type="pct"/>
          </w:tcPr>
          <w:p w14:paraId="0FB33699"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Delivery of any unit of competency which is not in accordance with the </w:t>
            </w:r>
            <w:r>
              <w:rPr>
                <w:rFonts w:ascii="Arial" w:hAnsi="Arial" w:cs="Arial"/>
              </w:rPr>
              <w:t xml:space="preserve">relevant </w:t>
            </w:r>
            <w:r w:rsidRPr="00075ADF">
              <w:rPr>
                <w:rFonts w:ascii="Arial" w:hAnsi="Arial" w:cs="Arial"/>
              </w:rPr>
              <w:t>training package rules</w:t>
            </w:r>
            <w:r>
              <w:rPr>
                <w:rFonts w:ascii="Arial" w:hAnsi="Arial" w:cs="Arial"/>
              </w:rPr>
              <w:t>.</w:t>
            </w:r>
          </w:p>
        </w:tc>
        <w:tc>
          <w:tcPr>
            <w:tcW w:w="826" w:type="pct"/>
          </w:tcPr>
          <w:p w14:paraId="6942432D"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74B71850" w14:textId="77777777" w:rsidTr="00213067">
        <w:tc>
          <w:tcPr>
            <w:tcW w:w="4174" w:type="pct"/>
          </w:tcPr>
          <w:p w14:paraId="6BB7E2A3"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Vocational/work placement will not receive any extra government funding in addition to the government subsidy for the qualification, irrespective of whether it is a compulsory component of the qualification (i.e. mandated as compulsory by the training package rules or ASQA). No payment also applies to workplace simulation</w:t>
            </w:r>
            <w:r>
              <w:rPr>
                <w:rFonts w:ascii="Arial" w:hAnsi="Arial" w:cs="Arial"/>
              </w:rPr>
              <w:t>.</w:t>
            </w:r>
          </w:p>
        </w:tc>
        <w:tc>
          <w:tcPr>
            <w:tcW w:w="826" w:type="pct"/>
          </w:tcPr>
          <w:p w14:paraId="087E6A0D"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0005315B" w14:textId="77777777" w:rsidTr="00213067">
        <w:tc>
          <w:tcPr>
            <w:tcW w:w="4174" w:type="pct"/>
          </w:tcPr>
          <w:p w14:paraId="2F2C999E"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sidRPr="00075ADF">
              <w:rPr>
                <w:rFonts w:ascii="Arial" w:hAnsi="Arial" w:cs="Arial"/>
              </w:rPr>
              <w:t xml:space="preserve">The unit </w:t>
            </w:r>
            <w:r w:rsidRPr="00075ADF">
              <w:rPr>
                <w:rFonts w:ascii="Arial" w:hAnsi="Arial" w:cs="Arial"/>
                <w:i/>
              </w:rPr>
              <w:t>QLD190PTA01A Formulate and review individual training plan</w:t>
            </w:r>
            <w:r w:rsidRPr="00075ADF">
              <w:rPr>
                <w:rFonts w:ascii="Arial" w:hAnsi="Arial" w:cs="Arial"/>
              </w:rPr>
              <w:t xml:space="preserve"> will not be funded when delivered in isolation as a standalone unit</w:t>
            </w:r>
            <w:r>
              <w:rPr>
                <w:rFonts w:ascii="Arial" w:hAnsi="Arial" w:cs="Arial"/>
              </w:rPr>
              <w:t>.</w:t>
            </w:r>
            <w:r w:rsidRPr="00075ADF">
              <w:rPr>
                <w:rFonts w:ascii="Arial" w:hAnsi="Arial" w:cs="Arial"/>
              </w:rPr>
              <w:t xml:space="preserve"> </w:t>
            </w:r>
          </w:p>
        </w:tc>
        <w:tc>
          <w:tcPr>
            <w:tcW w:w="826" w:type="pct"/>
          </w:tcPr>
          <w:p w14:paraId="5D0E133F" w14:textId="77777777" w:rsidR="00AA7419" w:rsidRPr="00075ADF" w:rsidRDefault="00AA7419" w:rsidP="00213067">
            <w:pPr>
              <w:pStyle w:val="TableNarrowText"/>
              <w:tabs>
                <w:tab w:val="left" w:pos="352"/>
              </w:tabs>
              <w:spacing w:before="40" w:after="40"/>
              <w:jc w:val="left"/>
              <w:rPr>
                <w:rFonts w:ascii="Arial" w:hAnsi="Arial" w:cs="Arial"/>
              </w:rPr>
            </w:pPr>
            <w:r w:rsidRPr="00075ADF">
              <w:rPr>
                <w:rFonts w:ascii="Arial" w:hAnsi="Arial" w:cs="Arial"/>
              </w:rPr>
              <w:t>No payment</w:t>
            </w:r>
          </w:p>
        </w:tc>
      </w:tr>
      <w:tr w:rsidR="00AA7419" w:rsidRPr="00075ADF" w14:paraId="08F10116" w14:textId="77777777" w:rsidTr="00213067">
        <w:tc>
          <w:tcPr>
            <w:tcW w:w="4174" w:type="pct"/>
          </w:tcPr>
          <w:p w14:paraId="62431EE3" w14:textId="77777777" w:rsidR="00AA7419" w:rsidRPr="00075ADF" w:rsidRDefault="00AA7419" w:rsidP="00AA7419">
            <w:pPr>
              <w:pStyle w:val="TableNarrowNumberingC-Level2"/>
              <w:numPr>
                <w:ilvl w:val="0"/>
                <w:numId w:val="43"/>
              </w:numPr>
              <w:spacing w:before="40" w:after="40"/>
              <w:ind w:left="459" w:hanging="425"/>
              <w:jc w:val="left"/>
              <w:rPr>
                <w:rFonts w:ascii="Arial" w:hAnsi="Arial" w:cs="Arial"/>
              </w:rPr>
            </w:pPr>
            <w:r>
              <w:rPr>
                <w:rFonts w:ascii="Arial" w:hAnsi="Arial" w:cs="Arial"/>
              </w:rPr>
              <w:t xml:space="preserve">Non-assessable </w:t>
            </w:r>
            <w:r w:rsidRPr="00017BA5">
              <w:rPr>
                <w:rFonts w:ascii="Arial" w:hAnsi="Arial" w:cs="Arial"/>
              </w:rPr>
              <w:t>activity</w:t>
            </w:r>
            <w:r>
              <w:rPr>
                <w:rFonts w:ascii="Arial" w:hAnsi="Arial" w:cs="Arial"/>
              </w:rPr>
              <w:t xml:space="preserve"> (outcome codes 81 and 82).</w:t>
            </w:r>
          </w:p>
        </w:tc>
        <w:tc>
          <w:tcPr>
            <w:tcW w:w="826" w:type="pct"/>
          </w:tcPr>
          <w:p w14:paraId="4404D876" w14:textId="77777777" w:rsidR="00AA7419" w:rsidRPr="00075ADF" w:rsidRDefault="00AA7419" w:rsidP="00213067">
            <w:pPr>
              <w:pStyle w:val="TableNarrowText"/>
              <w:tabs>
                <w:tab w:val="left" w:pos="352"/>
              </w:tabs>
              <w:spacing w:before="40" w:after="40"/>
              <w:jc w:val="left"/>
              <w:rPr>
                <w:rFonts w:ascii="Arial" w:hAnsi="Arial" w:cs="Arial"/>
              </w:rPr>
            </w:pPr>
            <w:r>
              <w:rPr>
                <w:rFonts w:ascii="Arial" w:hAnsi="Arial" w:cs="Arial"/>
              </w:rPr>
              <w:t>No payment</w:t>
            </w:r>
          </w:p>
        </w:tc>
      </w:tr>
    </w:tbl>
    <w:p w14:paraId="20C350C8" w14:textId="77777777" w:rsidR="00AA7419" w:rsidRPr="00075ADF" w:rsidRDefault="00AA7419" w:rsidP="00AA7419">
      <w:pPr>
        <w:ind w:left="7920"/>
        <w:rPr>
          <w:rFonts w:cs="Arial"/>
          <w:b/>
          <w:color w:val="000000"/>
        </w:rPr>
      </w:pPr>
    </w:p>
    <w:p w14:paraId="7FFECD70" w14:textId="77777777" w:rsidR="00AA7419" w:rsidRPr="00650238" w:rsidRDefault="00AA7419" w:rsidP="00AA7419">
      <w:pPr>
        <w:pStyle w:val="Header1policy"/>
        <w:numPr>
          <w:ilvl w:val="0"/>
          <w:numId w:val="0"/>
        </w:numPr>
        <w:ind w:left="360" w:hanging="360"/>
        <w:outlineLvl w:val="0"/>
      </w:pPr>
      <w:r w:rsidRPr="00075ADF">
        <w:rPr>
          <w:color w:val="000000"/>
        </w:rPr>
        <w:br w:type="page"/>
      </w:r>
    </w:p>
    <w:p w14:paraId="6D1C3826" w14:textId="77777777" w:rsidR="00AA7419" w:rsidRPr="00650238" w:rsidRDefault="00AA7419" w:rsidP="00AA7419">
      <w:pPr>
        <w:pStyle w:val="Header1policy"/>
        <w:numPr>
          <w:ilvl w:val="0"/>
          <w:numId w:val="0"/>
        </w:numPr>
        <w:ind w:left="360" w:hanging="360"/>
        <w:outlineLvl w:val="0"/>
      </w:pPr>
      <w:r w:rsidRPr="00650238">
        <w:lastRenderedPageBreak/>
        <w:t xml:space="preserve">Appendix </w:t>
      </w:r>
      <w:r>
        <w:t>7:</w:t>
      </w:r>
      <w:r w:rsidRPr="00650238">
        <w:t xml:space="preserve"> Definitions that apply</w:t>
      </w:r>
    </w:p>
    <w:p w14:paraId="6EA2EA62" w14:textId="77777777" w:rsidR="00AA7419" w:rsidRPr="005362B6" w:rsidRDefault="00AA7419" w:rsidP="00AA7419">
      <w:pPr>
        <w:rPr>
          <w:rFonts w:cs="Arial"/>
          <w:b/>
          <w:sz w:val="16"/>
          <w:szCs w:val="16"/>
        </w:rPr>
      </w:pPr>
    </w:p>
    <w:p w14:paraId="7B06B70C" w14:textId="77777777" w:rsidR="00AA7419" w:rsidRPr="00C2502A" w:rsidRDefault="00AA7419" w:rsidP="00AA7419">
      <w:pPr>
        <w:tabs>
          <w:tab w:val="left" w:pos="567"/>
          <w:tab w:val="left" w:pos="1134"/>
          <w:tab w:val="left" w:pos="1701"/>
        </w:tabs>
        <w:rPr>
          <w:rFonts w:cs="Arial"/>
          <w:i/>
          <w:sz w:val="20"/>
          <w:szCs w:val="20"/>
        </w:rPr>
      </w:pPr>
      <w:r w:rsidRPr="00C2502A">
        <w:rPr>
          <w:rFonts w:cs="Arial"/>
          <w:b/>
          <w:sz w:val="20"/>
          <w:szCs w:val="20"/>
        </w:rPr>
        <w:t>Act</w:t>
      </w:r>
      <w:r w:rsidRPr="00C2502A">
        <w:rPr>
          <w:rFonts w:cs="Arial"/>
          <w:b/>
          <w:i/>
          <w:sz w:val="20"/>
          <w:szCs w:val="20"/>
        </w:rPr>
        <w:t xml:space="preserve"> </w:t>
      </w:r>
      <w:r w:rsidRPr="00C2502A">
        <w:rPr>
          <w:rFonts w:cs="Arial"/>
          <w:sz w:val="20"/>
          <w:szCs w:val="20"/>
        </w:rPr>
        <w:t>means the</w:t>
      </w:r>
      <w:r w:rsidRPr="00C2502A">
        <w:rPr>
          <w:rFonts w:cs="Arial"/>
          <w:i/>
          <w:sz w:val="20"/>
          <w:szCs w:val="20"/>
        </w:rPr>
        <w:t xml:space="preserve"> </w:t>
      </w:r>
      <w:r w:rsidRPr="00C2502A">
        <w:rPr>
          <w:rFonts w:cs="Arial"/>
          <w:i/>
          <w:iCs/>
          <w:sz w:val="20"/>
          <w:szCs w:val="20"/>
        </w:rPr>
        <w:t xml:space="preserve">National Vocational Education and Training Regulator Act 2011 </w:t>
      </w:r>
      <w:r w:rsidRPr="00C2502A">
        <w:rPr>
          <w:rFonts w:cs="Arial"/>
          <w:iCs/>
          <w:sz w:val="20"/>
          <w:szCs w:val="20"/>
        </w:rPr>
        <w:t>(and includes</w:t>
      </w:r>
      <w:r w:rsidRPr="00C2502A">
        <w:rPr>
          <w:sz w:val="20"/>
          <w:szCs w:val="20"/>
        </w:rPr>
        <w:t xml:space="preserve"> any commenced amendment affecting the legislation</w:t>
      </w:r>
      <w:r w:rsidRPr="00C2502A">
        <w:rPr>
          <w:rFonts w:eastAsiaTheme="minorEastAsia" w:hint="eastAsia"/>
          <w:sz w:val="20"/>
          <w:szCs w:val="20"/>
          <w:lang w:eastAsia="zh-CN"/>
        </w:rPr>
        <w:t>,</w:t>
      </w:r>
      <w:r w:rsidRPr="00C2502A">
        <w:rPr>
          <w:sz w:val="20"/>
          <w:szCs w:val="20"/>
        </w:rPr>
        <w:t xml:space="preserve"> </w:t>
      </w:r>
      <w:r w:rsidRPr="00C2502A">
        <w:rPr>
          <w:rFonts w:cs="Arial"/>
          <w:iCs/>
          <w:sz w:val="20"/>
          <w:szCs w:val="20"/>
        </w:rPr>
        <w:t xml:space="preserve">such as </w:t>
      </w:r>
      <w:r w:rsidRPr="00C2502A">
        <w:rPr>
          <w:rFonts w:cs="Arial"/>
          <w:i/>
          <w:iCs/>
          <w:sz w:val="20"/>
          <w:szCs w:val="20"/>
        </w:rPr>
        <w:t xml:space="preserve">the </w:t>
      </w:r>
      <w:r w:rsidRPr="00C2502A">
        <w:rPr>
          <w:rFonts w:cs="Arial"/>
          <w:i/>
          <w:sz w:val="20"/>
          <w:szCs w:val="20"/>
        </w:rPr>
        <w:t>National Vocational Education and Training Regulator Amendment Act 2015</w:t>
      </w:r>
      <w:r w:rsidRPr="00C2502A">
        <w:rPr>
          <w:rFonts w:cs="Arial"/>
          <w:iCs/>
          <w:sz w:val="20"/>
          <w:szCs w:val="20"/>
        </w:rPr>
        <w:t>).</w:t>
      </w:r>
    </w:p>
    <w:p w14:paraId="4BA93488" w14:textId="77777777" w:rsidR="00AA7419" w:rsidRPr="00C2502A" w:rsidRDefault="00AA7419" w:rsidP="00AA7419">
      <w:pPr>
        <w:tabs>
          <w:tab w:val="left" w:pos="567"/>
          <w:tab w:val="left" w:pos="1134"/>
          <w:tab w:val="left" w:pos="1701"/>
        </w:tabs>
        <w:rPr>
          <w:rFonts w:cs="Arial"/>
          <w:b/>
          <w:i/>
          <w:sz w:val="20"/>
          <w:szCs w:val="20"/>
        </w:rPr>
      </w:pPr>
    </w:p>
    <w:p w14:paraId="355111E9" w14:textId="051B30A5" w:rsidR="00AA7419" w:rsidRPr="00C2502A" w:rsidRDefault="00AA7419" w:rsidP="00AA7419">
      <w:pPr>
        <w:tabs>
          <w:tab w:val="left" w:pos="567"/>
          <w:tab w:val="left" w:pos="1134"/>
          <w:tab w:val="left" w:pos="1701"/>
        </w:tabs>
        <w:rPr>
          <w:rFonts w:cs="Arial"/>
          <w:sz w:val="20"/>
          <w:szCs w:val="20"/>
        </w:rPr>
      </w:pPr>
      <w:r w:rsidRPr="00C2502A">
        <w:rPr>
          <w:rFonts w:cs="Arial"/>
          <w:b/>
          <w:sz w:val="20"/>
          <w:szCs w:val="20"/>
        </w:rPr>
        <w:t>AISS</w:t>
      </w:r>
      <w:r w:rsidRPr="00C2502A">
        <w:rPr>
          <w:rFonts w:cs="Arial"/>
          <w:sz w:val="20"/>
          <w:szCs w:val="20"/>
        </w:rPr>
        <w:t xml:space="preserve"> means apprentices/all students information self-service system/tool. To find out how to access and use AISS visit </w:t>
      </w:r>
      <w:hyperlink r:id="rId18" w:history="1">
        <w:r w:rsidR="00C2502A" w:rsidRPr="003D0D24">
          <w:rPr>
            <w:rStyle w:val="Hyperlink"/>
            <w:rFonts w:cs="Arial"/>
            <w:sz w:val="20"/>
            <w:szCs w:val="20"/>
          </w:rPr>
          <w:t>www.desbt.qld.gov.au/training/apprentices/manage/aiss</w:t>
        </w:r>
      </w:hyperlink>
      <w:r w:rsidRPr="00C2502A">
        <w:rPr>
          <w:rFonts w:cs="Arial"/>
          <w:sz w:val="20"/>
          <w:szCs w:val="20"/>
        </w:rPr>
        <w:t>.</w:t>
      </w:r>
    </w:p>
    <w:p w14:paraId="0228DC95" w14:textId="77777777" w:rsidR="00AA7419" w:rsidRPr="00C2502A" w:rsidRDefault="00AA7419" w:rsidP="00AA7419">
      <w:pPr>
        <w:tabs>
          <w:tab w:val="left" w:pos="567"/>
          <w:tab w:val="left" w:pos="1134"/>
          <w:tab w:val="left" w:pos="1701"/>
        </w:tabs>
        <w:rPr>
          <w:rFonts w:cs="Arial"/>
          <w:b/>
          <w:sz w:val="20"/>
          <w:szCs w:val="20"/>
        </w:rPr>
      </w:pPr>
    </w:p>
    <w:p w14:paraId="74A2F7CC" w14:textId="77777777" w:rsidR="00AA7419" w:rsidRPr="00C2502A" w:rsidRDefault="00AA7419" w:rsidP="00AA7419">
      <w:pPr>
        <w:tabs>
          <w:tab w:val="left" w:pos="567"/>
          <w:tab w:val="left" w:pos="1134"/>
          <w:tab w:val="left" w:pos="1701"/>
        </w:tabs>
        <w:rPr>
          <w:rFonts w:cs="Arial"/>
          <w:bCs/>
          <w:sz w:val="20"/>
          <w:szCs w:val="20"/>
        </w:rPr>
      </w:pPr>
      <w:r w:rsidRPr="00C2502A">
        <w:rPr>
          <w:rFonts w:cs="Arial"/>
          <w:b/>
          <w:sz w:val="20"/>
          <w:szCs w:val="20"/>
        </w:rPr>
        <w:t xml:space="preserve">AQF </w:t>
      </w:r>
      <w:r w:rsidRPr="00C2502A">
        <w:rPr>
          <w:rFonts w:cs="Arial"/>
          <w:sz w:val="20"/>
          <w:szCs w:val="20"/>
        </w:rPr>
        <w:t>or</w:t>
      </w:r>
      <w:r w:rsidRPr="00C2502A">
        <w:rPr>
          <w:rFonts w:cs="Arial"/>
          <w:b/>
          <w:sz w:val="20"/>
          <w:szCs w:val="20"/>
        </w:rPr>
        <w:t xml:space="preserve"> Australian Qualifications Framework</w:t>
      </w:r>
      <w:r w:rsidRPr="00C2502A">
        <w:rPr>
          <w:rFonts w:cs="Arial"/>
          <w:sz w:val="20"/>
          <w:szCs w:val="20"/>
        </w:rPr>
        <w:t xml:space="preserve"> means </w:t>
      </w:r>
      <w:r w:rsidRPr="00C2502A">
        <w:rPr>
          <w:rFonts w:cs="Arial"/>
          <w:bCs/>
          <w:sz w:val="20"/>
          <w:szCs w:val="20"/>
        </w:rPr>
        <w:t xml:space="preserve">the national policy for regulated qualifications in Australian education and training. The AQF incorporates the qualifications from each education and training sector into a single comprehensive national qualifications framework. </w:t>
      </w:r>
    </w:p>
    <w:p w14:paraId="2B094BBE" w14:textId="77777777" w:rsidR="00AA7419" w:rsidRPr="00C2502A" w:rsidRDefault="00AA7419" w:rsidP="00AA7419">
      <w:pPr>
        <w:pStyle w:val="NormalWeb"/>
        <w:rPr>
          <w:rFonts w:ascii="Arial" w:hAnsi="Arial" w:cs="Arial"/>
          <w:b/>
          <w:sz w:val="20"/>
          <w:szCs w:val="20"/>
        </w:rPr>
      </w:pPr>
    </w:p>
    <w:p w14:paraId="1EAB8188" w14:textId="77777777" w:rsidR="00AA7419" w:rsidRPr="00C2502A" w:rsidRDefault="00AA7419" w:rsidP="00AA7419">
      <w:pPr>
        <w:pStyle w:val="NormalWeb"/>
        <w:rPr>
          <w:rFonts w:ascii="Arial" w:hAnsi="Arial" w:cs="Arial"/>
          <w:i/>
          <w:sz w:val="20"/>
          <w:szCs w:val="20"/>
          <w:lang w:val="en"/>
        </w:rPr>
      </w:pPr>
      <w:r w:rsidRPr="00C2502A">
        <w:rPr>
          <w:rFonts w:ascii="Arial" w:hAnsi="Arial" w:cs="Arial"/>
          <w:b/>
          <w:sz w:val="20"/>
          <w:szCs w:val="20"/>
        </w:rPr>
        <w:t>AQTF</w:t>
      </w:r>
      <w:r w:rsidRPr="00C2502A">
        <w:rPr>
          <w:rFonts w:ascii="Arial" w:hAnsi="Arial" w:cs="Arial"/>
          <w:b/>
          <w:bCs/>
          <w:color w:val="000000"/>
          <w:sz w:val="20"/>
          <w:szCs w:val="20"/>
          <w:lang w:val="en"/>
        </w:rPr>
        <w:t xml:space="preserve"> </w:t>
      </w:r>
      <w:r w:rsidRPr="00C2502A">
        <w:rPr>
          <w:rFonts w:ascii="Arial" w:hAnsi="Arial" w:cs="Arial"/>
          <w:bCs/>
          <w:color w:val="000000"/>
          <w:sz w:val="20"/>
          <w:szCs w:val="20"/>
          <w:lang w:val="en"/>
        </w:rPr>
        <w:t>or</w:t>
      </w:r>
      <w:r w:rsidRPr="00C2502A">
        <w:rPr>
          <w:rFonts w:ascii="Arial" w:hAnsi="Arial" w:cs="Arial"/>
          <w:b/>
          <w:bCs/>
          <w:color w:val="000000"/>
          <w:sz w:val="20"/>
          <w:szCs w:val="20"/>
          <w:lang w:val="en"/>
        </w:rPr>
        <w:t xml:space="preserve"> Australian Quality Training Framework</w:t>
      </w:r>
      <w:r w:rsidRPr="00C2502A">
        <w:rPr>
          <w:rFonts w:ascii="Arial" w:hAnsi="Arial" w:cs="Arial"/>
          <w:color w:val="000000"/>
          <w:sz w:val="20"/>
          <w:szCs w:val="20"/>
          <w:lang w:val="en"/>
        </w:rPr>
        <w:t xml:space="preserve"> means the national set of compliance standards that the training provider must meet to become an RTO. Since the establishment of ASQA, the former AQTF standards have been replaced by the </w:t>
      </w:r>
      <w:r w:rsidRPr="00C2502A">
        <w:rPr>
          <w:rFonts w:ascii="Arial" w:hAnsi="Arial" w:cs="Arial"/>
          <w:i/>
          <w:color w:val="000000"/>
          <w:sz w:val="20"/>
          <w:szCs w:val="20"/>
          <w:lang w:val="en"/>
        </w:rPr>
        <w:t xml:space="preserve">Standards for Registered Training </w:t>
      </w:r>
      <w:proofErr w:type="spellStart"/>
      <w:r w:rsidRPr="00C2502A">
        <w:rPr>
          <w:rFonts w:ascii="Arial" w:hAnsi="Arial" w:cs="Arial"/>
          <w:i/>
          <w:color w:val="000000"/>
          <w:sz w:val="20"/>
          <w:szCs w:val="20"/>
          <w:lang w:val="en"/>
        </w:rPr>
        <w:t>Organisations</w:t>
      </w:r>
      <w:proofErr w:type="spellEnd"/>
      <w:r w:rsidRPr="00C2502A">
        <w:rPr>
          <w:rFonts w:ascii="Arial" w:hAnsi="Arial" w:cs="Arial"/>
          <w:i/>
          <w:color w:val="000000"/>
          <w:sz w:val="20"/>
          <w:szCs w:val="20"/>
          <w:lang w:val="en"/>
        </w:rPr>
        <w:t xml:space="preserve"> (RTOs) 2015</w:t>
      </w:r>
      <w:r w:rsidRPr="00C2502A">
        <w:rPr>
          <w:rFonts w:ascii="Arial" w:hAnsi="Arial" w:cs="Arial"/>
          <w:color w:val="000000"/>
          <w:sz w:val="20"/>
          <w:szCs w:val="20"/>
          <w:lang w:val="en"/>
        </w:rPr>
        <w:t>.</w:t>
      </w:r>
    </w:p>
    <w:p w14:paraId="3494F927" w14:textId="77777777" w:rsidR="00AA7419" w:rsidRPr="00C2502A" w:rsidRDefault="00AA7419" w:rsidP="00AA7419">
      <w:pPr>
        <w:pStyle w:val="NormalWeb"/>
        <w:rPr>
          <w:rFonts w:ascii="Arial" w:hAnsi="Arial" w:cs="Arial"/>
          <w:b/>
          <w:sz w:val="20"/>
          <w:szCs w:val="20"/>
          <w:lang w:val="en"/>
        </w:rPr>
      </w:pPr>
    </w:p>
    <w:p w14:paraId="5227103A" w14:textId="77777777" w:rsidR="00AA7419" w:rsidRPr="00C2502A" w:rsidRDefault="00AA7419" w:rsidP="00AA7419">
      <w:pPr>
        <w:pStyle w:val="NormalWeb"/>
        <w:rPr>
          <w:rFonts w:ascii="Arial" w:hAnsi="Arial" w:cs="Arial"/>
          <w:sz w:val="20"/>
          <w:szCs w:val="20"/>
        </w:rPr>
      </w:pPr>
      <w:r w:rsidRPr="00C2502A">
        <w:rPr>
          <w:rFonts w:ascii="Arial" w:hAnsi="Arial" w:cs="Arial"/>
          <w:b/>
          <w:sz w:val="20"/>
          <w:szCs w:val="20"/>
        </w:rPr>
        <w:t>ASQA</w:t>
      </w:r>
      <w:r w:rsidRPr="00C2502A">
        <w:rPr>
          <w:rFonts w:ascii="Arial" w:hAnsi="Arial" w:cs="Arial"/>
          <w:sz w:val="20"/>
          <w:szCs w:val="20"/>
        </w:rPr>
        <w:t xml:space="preserve"> means the Australian Skills Quality Authority — the national regulator for Australia’s vocational education and training sector. </w:t>
      </w:r>
    </w:p>
    <w:p w14:paraId="3FA670B7" w14:textId="77777777" w:rsidR="00AA7419" w:rsidRPr="00C2502A" w:rsidRDefault="00AA7419" w:rsidP="00AA7419">
      <w:pPr>
        <w:tabs>
          <w:tab w:val="left" w:pos="567"/>
          <w:tab w:val="left" w:pos="1134"/>
          <w:tab w:val="left" w:pos="1701"/>
        </w:tabs>
        <w:rPr>
          <w:rFonts w:cs="Arial"/>
          <w:b/>
          <w:sz w:val="20"/>
          <w:szCs w:val="20"/>
        </w:rPr>
      </w:pPr>
    </w:p>
    <w:p w14:paraId="6F3EE8AE" w14:textId="00466456" w:rsidR="00AA7419" w:rsidRPr="00C2502A" w:rsidRDefault="00AA7419" w:rsidP="00AA7419">
      <w:pPr>
        <w:widowControl w:val="0"/>
        <w:rPr>
          <w:rFonts w:eastAsia="SimSun" w:cs="Arial"/>
          <w:b/>
          <w:sz w:val="20"/>
          <w:szCs w:val="20"/>
          <w:lang w:eastAsia="zh-CN"/>
        </w:rPr>
      </w:pPr>
      <w:r w:rsidRPr="00C2502A">
        <w:rPr>
          <w:rFonts w:eastAsia="SimSun" w:cs="Arial"/>
          <w:b/>
          <w:sz w:val="20"/>
          <w:szCs w:val="20"/>
          <w:lang w:eastAsia="zh-CN"/>
        </w:rPr>
        <w:t xml:space="preserve">Australian permanent resident </w:t>
      </w:r>
      <w:r w:rsidRPr="00C2502A">
        <w:rPr>
          <w:rFonts w:eastAsia="SimSun" w:cs="Arial"/>
          <w:sz w:val="20"/>
          <w:szCs w:val="20"/>
          <w:lang w:eastAsia="zh-CN"/>
        </w:rPr>
        <w:t xml:space="preserve">means a non-citizen (being usually a resident in Australia) who is the holder of a permanent visa. The prospective student will need to show evidence they were granted a permanent visa. For example, a visa label on their passport or formal communication from the Australian Government. Further information on visas and acceptable evidence can be sourced from the Department of Home Affairs at </w:t>
      </w:r>
      <w:hyperlink r:id="rId19" w:history="1">
        <w:r w:rsidR="00C2502A" w:rsidRPr="003D0D24">
          <w:rPr>
            <w:rStyle w:val="Hyperlink"/>
            <w:sz w:val="20"/>
            <w:szCs w:val="20"/>
          </w:rPr>
          <w:t>www.homeaffairs.gov.au</w:t>
        </w:r>
      </w:hyperlink>
      <w:r w:rsidRPr="00C2502A">
        <w:rPr>
          <w:rFonts w:eastAsia="SimSun" w:cs="Arial"/>
          <w:sz w:val="20"/>
          <w:szCs w:val="20"/>
          <w:lang w:eastAsia="zh-CN"/>
        </w:rPr>
        <w:t>.</w:t>
      </w:r>
      <w:r w:rsidRPr="00C2502A">
        <w:rPr>
          <w:rFonts w:eastAsia="SimSun" w:cs="Arial"/>
          <w:b/>
          <w:sz w:val="20"/>
          <w:szCs w:val="20"/>
          <w:lang w:eastAsia="zh-CN"/>
        </w:rPr>
        <w:t xml:space="preserve"> </w:t>
      </w:r>
    </w:p>
    <w:p w14:paraId="5B7150FF"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253D3528"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r w:rsidRPr="00C2502A">
        <w:rPr>
          <w:rFonts w:cs="Arial"/>
          <w:b/>
          <w:bCs/>
          <w:sz w:val="20"/>
          <w:szCs w:val="20"/>
        </w:rPr>
        <w:t xml:space="preserve">AVETMISS </w:t>
      </w:r>
      <w:r w:rsidRPr="00C2502A">
        <w:rPr>
          <w:rFonts w:cs="Arial"/>
          <w:bCs/>
          <w:sz w:val="20"/>
          <w:szCs w:val="20"/>
        </w:rPr>
        <w:t xml:space="preserve">means the </w:t>
      </w:r>
      <w:r w:rsidRPr="00C2502A">
        <w:rPr>
          <w:rFonts w:cs="Arial"/>
          <w:bCs/>
          <w:i/>
          <w:sz w:val="20"/>
          <w:szCs w:val="20"/>
        </w:rPr>
        <w:t>Australian Vocational Education and Training Management Information Statistical Standard</w:t>
      </w:r>
      <w:r w:rsidRPr="00C2502A">
        <w:rPr>
          <w:rFonts w:cs="Arial"/>
          <w:bCs/>
          <w:sz w:val="20"/>
          <w:szCs w:val="20"/>
        </w:rPr>
        <w:t xml:space="preserve"> published by the National Centre for Vocational Education Research (NCVER).  </w:t>
      </w:r>
    </w:p>
    <w:p w14:paraId="382D164D" w14:textId="77777777" w:rsidR="00AA7419" w:rsidRPr="00C2502A" w:rsidRDefault="00AA7419" w:rsidP="00AA7419">
      <w:pPr>
        <w:autoSpaceDE w:val="0"/>
        <w:autoSpaceDN w:val="0"/>
        <w:adjustRightInd w:val="0"/>
        <w:rPr>
          <w:rFonts w:cs="Arial"/>
          <w:b/>
          <w:bCs/>
          <w:sz w:val="20"/>
          <w:szCs w:val="20"/>
          <w:lang w:val="en-US"/>
        </w:rPr>
      </w:pPr>
    </w:p>
    <w:p w14:paraId="34BD487D" w14:textId="77777777" w:rsidR="00AA7419" w:rsidRPr="00C2502A" w:rsidRDefault="00AA7419" w:rsidP="00AA7419">
      <w:pPr>
        <w:tabs>
          <w:tab w:val="left" w:pos="567"/>
          <w:tab w:val="left" w:pos="1134"/>
          <w:tab w:val="left" w:pos="1701"/>
        </w:tabs>
        <w:rPr>
          <w:rFonts w:cs="Arial"/>
          <w:sz w:val="20"/>
          <w:szCs w:val="20"/>
        </w:rPr>
      </w:pPr>
      <w:proofErr w:type="gramStart"/>
      <w:r w:rsidRPr="00C2502A">
        <w:rPr>
          <w:rFonts w:cs="Arial"/>
          <w:b/>
          <w:sz w:val="20"/>
          <w:szCs w:val="20"/>
        </w:rPr>
        <w:t>co-contribution</w:t>
      </w:r>
      <w:proofErr w:type="gramEnd"/>
      <w:r w:rsidRPr="00C2502A">
        <w:rPr>
          <w:rFonts w:cs="Arial"/>
          <w:b/>
          <w:sz w:val="20"/>
          <w:szCs w:val="20"/>
        </w:rPr>
        <w:t xml:space="preserve"> fee </w:t>
      </w:r>
      <w:r w:rsidRPr="00C2502A">
        <w:rPr>
          <w:rFonts w:cs="Arial"/>
          <w:sz w:val="20"/>
          <w:szCs w:val="20"/>
        </w:rPr>
        <w:t>means the non-government financial contribution to the cost of the training and assessment services provided by the PQS — the fee is paid to the PQS</w:t>
      </w:r>
      <w:r w:rsidRPr="00C2502A">
        <w:rPr>
          <w:rFonts w:cs="Arial"/>
          <w:bCs/>
          <w:sz w:val="20"/>
          <w:szCs w:val="20"/>
        </w:rPr>
        <w:t xml:space="preserve">. </w:t>
      </w:r>
    </w:p>
    <w:p w14:paraId="5C92A5F2" w14:textId="77777777" w:rsidR="00AA7419" w:rsidRPr="00C2502A" w:rsidRDefault="00AA7419" w:rsidP="00AA7419">
      <w:pPr>
        <w:autoSpaceDE w:val="0"/>
        <w:autoSpaceDN w:val="0"/>
        <w:adjustRightInd w:val="0"/>
        <w:rPr>
          <w:rFonts w:cs="Arial"/>
          <w:b/>
          <w:bCs/>
          <w:sz w:val="20"/>
          <w:szCs w:val="20"/>
          <w:lang w:val="en-US"/>
        </w:rPr>
      </w:pPr>
    </w:p>
    <w:p w14:paraId="00F51A25" w14:textId="77777777" w:rsidR="00AA7419" w:rsidRPr="00C2502A" w:rsidRDefault="00AA7419" w:rsidP="00AA7419">
      <w:pPr>
        <w:tabs>
          <w:tab w:val="left" w:pos="567"/>
          <w:tab w:val="left" w:pos="1134"/>
          <w:tab w:val="left" w:pos="1701"/>
        </w:tabs>
        <w:autoSpaceDE w:val="0"/>
        <w:autoSpaceDN w:val="0"/>
        <w:adjustRightInd w:val="0"/>
        <w:rPr>
          <w:rFonts w:cs="Arial"/>
          <w:sz w:val="20"/>
          <w:szCs w:val="20"/>
        </w:rPr>
      </w:pPr>
      <w:proofErr w:type="gramStart"/>
      <w:r w:rsidRPr="00C2502A">
        <w:rPr>
          <w:rFonts w:cs="Arial"/>
          <w:b/>
          <w:bCs/>
          <w:sz w:val="20"/>
          <w:szCs w:val="20"/>
        </w:rPr>
        <w:t>competency</w:t>
      </w:r>
      <w:proofErr w:type="gramEnd"/>
      <w:r w:rsidRPr="00C2502A">
        <w:rPr>
          <w:rFonts w:cs="Arial"/>
          <w:b/>
          <w:bCs/>
          <w:sz w:val="20"/>
          <w:szCs w:val="20"/>
        </w:rPr>
        <w:t xml:space="preserve"> count </w:t>
      </w:r>
      <w:r w:rsidRPr="00C2502A">
        <w:rPr>
          <w:rFonts w:cs="Arial"/>
          <w:bCs/>
          <w:sz w:val="20"/>
          <w:szCs w:val="20"/>
        </w:rPr>
        <w:t>m</w:t>
      </w:r>
      <w:r w:rsidRPr="00C2502A">
        <w:rPr>
          <w:rFonts w:cs="Arial"/>
          <w:sz w:val="20"/>
          <w:szCs w:val="20"/>
        </w:rPr>
        <w:t xml:space="preserve">eans the minimum number of units of competency specified by the training package that are needed to achieve the qualification outcome. The minimum number of units of competency will be the maximum number of competencies payable for a qualification.  </w:t>
      </w:r>
      <w:r w:rsidRPr="00C2502A">
        <w:rPr>
          <w:rFonts w:cs="Arial"/>
          <w:sz w:val="20"/>
          <w:szCs w:val="20"/>
        </w:rPr>
        <w:br/>
      </w:r>
      <w:r w:rsidRPr="00C2502A">
        <w:rPr>
          <w:rFonts w:cs="Arial"/>
          <w:b/>
          <w:sz w:val="20"/>
          <w:szCs w:val="20"/>
        </w:rPr>
        <w:t xml:space="preserve">Note: </w:t>
      </w:r>
      <w:r w:rsidRPr="00C2502A">
        <w:rPr>
          <w:rFonts w:eastAsiaTheme="minorEastAsia" w:cs="Arial" w:hint="eastAsia"/>
          <w:sz w:val="20"/>
          <w:szCs w:val="20"/>
          <w:lang w:eastAsia="zh-CN"/>
        </w:rPr>
        <w:t>C</w:t>
      </w:r>
      <w:r w:rsidRPr="00C2502A">
        <w:rPr>
          <w:rFonts w:cs="Arial"/>
          <w:sz w:val="20"/>
          <w:szCs w:val="20"/>
        </w:rPr>
        <w:t>ompetency count may be replaced by</w:t>
      </w:r>
      <w:r w:rsidRPr="00C2502A">
        <w:rPr>
          <w:rFonts w:cs="Arial"/>
          <w:b/>
          <w:sz w:val="20"/>
          <w:szCs w:val="20"/>
        </w:rPr>
        <w:t xml:space="preserve"> module count or points count </w:t>
      </w:r>
      <w:r w:rsidRPr="00C2502A">
        <w:rPr>
          <w:rFonts w:cs="Arial"/>
          <w:sz w:val="20"/>
          <w:szCs w:val="20"/>
        </w:rPr>
        <w:t xml:space="preserve">for certain qualifications or accredited courses. </w:t>
      </w:r>
      <w:r w:rsidRPr="00C2502A">
        <w:rPr>
          <w:rFonts w:cs="Arial"/>
          <w:b/>
          <w:bCs/>
          <w:sz w:val="20"/>
          <w:szCs w:val="20"/>
        </w:rPr>
        <w:t xml:space="preserve">Points </w:t>
      </w:r>
      <w:r w:rsidRPr="00C2502A">
        <w:rPr>
          <w:rFonts w:cs="Arial"/>
          <w:sz w:val="20"/>
          <w:szCs w:val="20"/>
        </w:rPr>
        <w:t>mean the value specified by the relevant training package for a unit of competency.</w:t>
      </w:r>
    </w:p>
    <w:p w14:paraId="55F8C020" w14:textId="77777777" w:rsidR="00AA7419" w:rsidRPr="00C2502A" w:rsidRDefault="00AA7419" w:rsidP="00AA7419">
      <w:pPr>
        <w:autoSpaceDE w:val="0"/>
        <w:autoSpaceDN w:val="0"/>
        <w:adjustRightInd w:val="0"/>
        <w:rPr>
          <w:rFonts w:cs="Arial"/>
          <w:bCs/>
          <w:sz w:val="20"/>
          <w:szCs w:val="20"/>
        </w:rPr>
      </w:pPr>
    </w:p>
    <w:p w14:paraId="42EF7ECB" w14:textId="77777777" w:rsidR="00AA7419" w:rsidRPr="00C2502A" w:rsidRDefault="00AA7419" w:rsidP="00AA7419">
      <w:pPr>
        <w:pStyle w:val="AppendixNumberedText1"/>
        <w:numPr>
          <w:ilvl w:val="0"/>
          <w:numId w:val="0"/>
        </w:numPr>
        <w:spacing w:before="0"/>
        <w:jc w:val="left"/>
        <w:rPr>
          <w:bCs/>
          <w:color w:val="FF0000"/>
          <w:lang w:eastAsia="en-AU"/>
        </w:rPr>
      </w:pPr>
      <w:proofErr w:type="gramStart"/>
      <w:r w:rsidRPr="00C2502A">
        <w:rPr>
          <w:b/>
          <w:bCs/>
          <w:lang w:eastAsia="en-AU"/>
        </w:rPr>
        <w:t>concessional</w:t>
      </w:r>
      <w:proofErr w:type="gramEnd"/>
      <w:r w:rsidRPr="00C2502A">
        <w:rPr>
          <w:b/>
          <w:bCs/>
          <w:lang w:eastAsia="en-AU"/>
        </w:rPr>
        <w:t xml:space="preserve"> student </w:t>
      </w:r>
      <w:r w:rsidRPr="00C2502A">
        <w:rPr>
          <w:bCs/>
          <w:lang w:eastAsia="en-AU"/>
        </w:rPr>
        <w:t>means as defined in the relevant policy or guidelines for the program.</w:t>
      </w:r>
    </w:p>
    <w:p w14:paraId="78DFF7A7" w14:textId="77777777" w:rsidR="00AA7419" w:rsidRPr="00C2502A" w:rsidRDefault="00AA7419" w:rsidP="00AA7419">
      <w:pPr>
        <w:pStyle w:val="AppendixNumberedText1"/>
        <w:numPr>
          <w:ilvl w:val="0"/>
          <w:numId w:val="0"/>
        </w:numPr>
        <w:spacing w:before="0"/>
        <w:jc w:val="left"/>
        <w:rPr>
          <w:bCs/>
          <w:lang w:eastAsia="en-AU"/>
        </w:rPr>
      </w:pPr>
    </w:p>
    <w:p w14:paraId="432CAD91" w14:textId="77777777" w:rsidR="00AA7419" w:rsidRPr="00C2502A" w:rsidRDefault="00AA7419" w:rsidP="00AA7419">
      <w:pPr>
        <w:tabs>
          <w:tab w:val="left" w:pos="567"/>
          <w:tab w:val="left" w:pos="1134"/>
          <w:tab w:val="left" w:pos="1701"/>
        </w:tabs>
        <w:autoSpaceDE w:val="0"/>
        <w:autoSpaceDN w:val="0"/>
        <w:adjustRightInd w:val="0"/>
        <w:rPr>
          <w:rFonts w:cs="Arial"/>
          <w:b/>
          <w:sz w:val="20"/>
          <w:szCs w:val="20"/>
        </w:rPr>
      </w:pPr>
      <w:proofErr w:type="gramStart"/>
      <w:r w:rsidRPr="00C2502A">
        <w:rPr>
          <w:rFonts w:cs="Arial"/>
          <w:b/>
          <w:bCs/>
          <w:sz w:val="20"/>
          <w:szCs w:val="20"/>
        </w:rPr>
        <w:t>conflict</w:t>
      </w:r>
      <w:proofErr w:type="gramEnd"/>
      <w:r w:rsidRPr="00C2502A">
        <w:rPr>
          <w:rFonts w:cs="Arial"/>
          <w:b/>
          <w:bCs/>
          <w:sz w:val="20"/>
          <w:szCs w:val="20"/>
        </w:rPr>
        <w:t xml:space="preserve"> of interest </w:t>
      </w:r>
      <w:r w:rsidRPr="00C2502A">
        <w:rPr>
          <w:rFonts w:cs="Arial"/>
          <w:bCs/>
          <w:sz w:val="20"/>
          <w:szCs w:val="20"/>
        </w:rPr>
        <w:t>means, in the reasonable opinion of an independent observer, the interest of the PQS comes into conflict with, or opposition to, the objectives or standards within the PQS Agreement, this PQS Policy or the relevant program policy.</w:t>
      </w:r>
    </w:p>
    <w:p w14:paraId="240B5CBC" w14:textId="77777777" w:rsidR="00AA7419" w:rsidRPr="00C2502A" w:rsidRDefault="00AA7419" w:rsidP="00AA7419">
      <w:pPr>
        <w:tabs>
          <w:tab w:val="left" w:pos="567"/>
          <w:tab w:val="left" w:pos="1134"/>
          <w:tab w:val="left" w:pos="1701"/>
        </w:tabs>
        <w:autoSpaceDE w:val="0"/>
        <w:autoSpaceDN w:val="0"/>
        <w:adjustRightInd w:val="0"/>
        <w:rPr>
          <w:rFonts w:cs="Arial"/>
          <w:b/>
          <w:sz w:val="20"/>
          <w:szCs w:val="20"/>
        </w:rPr>
      </w:pPr>
    </w:p>
    <w:p w14:paraId="62F14F98"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proofErr w:type="gramStart"/>
      <w:r w:rsidRPr="00C2502A">
        <w:rPr>
          <w:rFonts w:cs="Arial"/>
          <w:b/>
          <w:bCs/>
          <w:sz w:val="20"/>
          <w:szCs w:val="20"/>
        </w:rPr>
        <w:t>control</w:t>
      </w:r>
      <w:proofErr w:type="gramEnd"/>
      <w:r w:rsidRPr="00C2502A">
        <w:rPr>
          <w:rFonts w:cs="Arial"/>
          <w:b/>
          <w:bCs/>
          <w:sz w:val="20"/>
          <w:szCs w:val="20"/>
        </w:rPr>
        <w:t xml:space="preserve"> </w:t>
      </w:r>
      <w:r w:rsidRPr="00C2502A">
        <w:rPr>
          <w:rFonts w:cs="Arial"/>
          <w:bCs/>
          <w:sz w:val="20"/>
          <w:szCs w:val="20"/>
        </w:rPr>
        <w:t>means with respect to an RTO entity, the ability or capacity to determine the outcome of decisions about that entity's financial and operating policies.</w:t>
      </w:r>
    </w:p>
    <w:p w14:paraId="5E875601" w14:textId="77777777" w:rsidR="00AA7419" w:rsidRPr="00C2502A" w:rsidRDefault="00AA7419" w:rsidP="00AA7419">
      <w:pPr>
        <w:tabs>
          <w:tab w:val="left" w:pos="567"/>
          <w:tab w:val="left" w:pos="1134"/>
          <w:tab w:val="left" w:pos="1701"/>
        </w:tabs>
        <w:autoSpaceDE w:val="0"/>
        <w:autoSpaceDN w:val="0"/>
        <w:adjustRightInd w:val="0"/>
        <w:rPr>
          <w:rFonts w:cs="Arial"/>
          <w:b/>
          <w:sz w:val="20"/>
          <w:szCs w:val="20"/>
        </w:rPr>
      </w:pPr>
    </w:p>
    <w:p w14:paraId="08FB51C3" w14:textId="77777777" w:rsidR="00AA7419" w:rsidRPr="00C2502A" w:rsidRDefault="00AA7419" w:rsidP="00AA7419">
      <w:pPr>
        <w:tabs>
          <w:tab w:val="left" w:pos="567"/>
          <w:tab w:val="left" w:pos="1134"/>
          <w:tab w:val="left" w:pos="1701"/>
        </w:tabs>
        <w:autoSpaceDE w:val="0"/>
        <w:autoSpaceDN w:val="0"/>
        <w:adjustRightInd w:val="0"/>
        <w:rPr>
          <w:rFonts w:cs="Arial"/>
          <w:sz w:val="20"/>
          <w:szCs w:val="20"/>
        </w:rPr>
      </w:pPr>
      <w:proofErr w:type="gramStart"/>
      <w:r w:rsidRPr="00C2502A">
        <w:rPr>
          <w:rFonts w:cs="Arial"/>
          <w:b/>
          <w:sz w:val="20"/>
          <w:szCs w:val="20"/>
        </w:rPr>
        <w:t>delivery</w:t>
      </w:r>
      <w:proofErr w:type="gramEnd"/>
      <w:r w:rsidRPr="00C2502A">
        <w:rPr>
          <w:rFonts w:cs="Arial"/>
          <w:b/>
          <w:sz w:val="20"/>
          <w:szCs w:val="20"/>
        </w:rPr>
        <w:t xml:space="preserve"> schedule </w:t>
      </w:r>
      <w:r w:rsidRPr="00C2502A">
        <w:rPr>
          <w:rFonts w:cs="Arial"/>
          <w:sz w:val="20"/>
          <w:szCs w:val="20"/>
        </w:rPr>
        <w:t>means the attachment to the PQS letter of authority (i.e. approval) showing the qualification or list of qualifications the PQS is approved to deliver for a program, in accordance with the requirements stated in this PQS Policy and the applicable Program Policy.</w:t>
      </w:r>
    </w:p>
    <w:p w14:paraId="2C7C60CF" w14:textId="77777777" w:rsidR="00AA7419" w:rsidRPr="00C2502A" w:rsidRDefault="00AA7419" w:rsidP="00AA7419">
      <w:pPr>
        <w:tabs>
          <w:tab w:val="left" w:pos="567"/>
          <w:tab w:val="left" w:pos="1134"/>
          <w:tab w:val="left" w:pos="1701"/>
        </w:tabs>
        <w:autoSpaceDE w:val="0"/>
        <w:autoSpaceDN w:val="0"/>
        <w:adjustRightInd w:val="0"/>
        <w:rPr>
          <w:rFonts w:cs="Arial"/>
          <w:b/>
          <w:sz w:val="20"/>
          <w:szCs w:val="20"/>
        </w:rPr>
      </w:pPr>
    </w:p>
    <w:p w14:paraId="3A9ABD2A" w14:textId="77777777" w:rsidR="00AA7419" w:rsidRPr="00C2502A" w:rsidRDefault="00AA7419" w:rsidP="00AA7419">
      <w:pPr>
        <w:tabs>
          <w:tab w:val="left" w:pos="567"/>
          <w:tab w:val="left" w:pos="1134"/>
          <w:tab w:val="left" w:pos="1701"/>
        </w:tabs>
        <w:autoSpaceDE w:val="0"/>
        <w:autoSpaceDN w:val="0"/>
        <w:adjustRightInd w:val="0"/>
        <w:rPr>
          <w:rStyle w:val="ms-rtecustom-bodytext1"/>
          <w:rFonts w:cs="Arial"/>
          <w:sz w:val="20"/>
          <w:szCs w:val="20"/>
        </w:rPr>
      </w:pPr>
      <w:proofErr w:type="gramStart"/>
      <w:r w:rsidRPr="00C2502A">
        <w:rPr>
          <w:rFonts w:cs="Arial"/>
          <w:b/>
          <w:sz w:val="20"/>
          <w:szCs w:val="20"/>
        </w:rPr>
        <w:t>department</w:t>
      </w:r>
      <w:proofErr w:type="gramEnd"/>
      <w:r w:rsidRPr="00C2502A">
        <w:rPr>
          <w:rFonts w:cs="Arial"/>
          <w:b/>
          <w:sz w:val="20"/>
          <w:szCs w:val="20"/>
        </w:rPr>
        <w:t xml:space="preserve"> </w:t>
      </w:r>
      <w:r w:rsidRPr="00C2502A">
        <w:rPr>
          <w:rFonts w:cs="Arial"/>
          <w:sz w:val="20"/>
          <w:szCs w:val="20"/>
        </w:rPr>
        <w:t xml:space="preserve">means the Queensland </w:t>
      </w:r>
      <w:r w:rsidRPr="00C2502A">
        <w:rPr>
          <w:rStyle w:val="ms-rtecustom-bodytext1"/>
          <w:rFonts w:ascii="Arial" w:hAnsi="Arial" w:cs="Arial"/>
          <w:sz w:val="20"/>
          <w:szCs w:val="20"/>
        </w:rPr>
        <w:t>Department of Employment, Small Business and Training.</w:t>
      </w:r>
    </w:p>
    <w:p w14:paraId="5D57D789" w14:textId="77777777" w:rsidR="00AA7419" w:rsidRPr="00C2502A" w:rsidRDefault="00AA7419" w:rsidP="00AA7419">
      <w:pPr>
        <w:tabs>
          <w:tab w:val="left" w:pos="567"/>
          <w:tab w:val="left" w:pos="1134"/>
          <w:tab w:val="left" w:pos="1701"/>
        </w:tabs>
        <w:autoSpaceDE w:val="0"/>
        <w:autoSpaceDN w:val="0"/>
        <w:adjustRightInd w:val="0"/>
        <w:rPr>
          <w:rStyle w:val="ms-rtecustom-bodytext1"/>
          <w:rFonts w:cs="Arial"/>
          <w:sz w:val="20"/>
          <w:szCs w:val="20"/>
        </w:rPr>
      </w:pPr>
    </w:p>
    <w:p w14:paraId="0DF49676" w14:textId="08FA7865" w:rsidR="00AA7419" w:rsidRDefault="00AA7419" w:rsidP="00AA7419">
      <w:pPr>
        <w:rPr>
          <w:iCs/>
          <w:sz w:val="20"/>
          <w:szCs w:val="20"/>
        </w:rPr>
      </w:pPr>
      <w:r w:rsidRPr="00C2502A">
        <w:rPr>
          <w:b/>
          <w:iCs/>
          <w:sz w:val="20"/>
          <w:szCs w:val="20"/>
        </w:rPr>
        <w:t>department’s policies</w:t>
      </w:r>
      <w:r w:rsidRPr="00C2502A">
        <w:rPr>
          <w:iCs/>
          <w:sz w:val="20"/>
          <w:szCs w:val="20"/>
        </w:rPr>
        <w:t xml:space="preserve"> means</w:t>
      </w:r>
      <w:r w:rsidRPr="00C2502A">
        <w:rPr>
          <w:i/>
          <w:iCs/>
          <w:sz w:val="20"/>
          <w:szCs w:val="20"/>
        </w:rPr>
        <w:t xml:space="preserve"> </w:t>
      </w:r>
      <w:r w:rsidRPr="00C2502A">
        <w:rPr>
          <w:iCs/>
          <w:sz w:val="20"/>
          <w:szCs w:val="20"/>
        </w:rPr>
        <w:t xml:space="preserve">the department’s policies regulating pre-qualified suppliers and policies regulating a program including, without limitation, Evidence Guides which means the </w:t>
      </w:r>
      <w:r w:rsidRPr="00C2502A">
        <w:rPr>
          <w:iCs/>
          <w:sz w:val="20"/>
          <w:szCs w:val="20"/>
        </w:rPr>
        <w:br/>
        <w:t>Pre-qualified Supplier Audit Evidence Requirements (VET Investment Programs), as published from time</w:t>
      </w:r>
      <w:r w:rsidRPr="00C2502A">
        <w:rPr>
          <w:i/>
          <w:iCs/>
          <w:sz w:val="20"/>
          <w:szCs w:val="20"/>
        </w:rPr>
        <w:t xml:space="preserve"> </w:t>
      </w:r>
      <w:r w:rsidRPr="00C2502A">
        <w:rPr>
          <w:iCs/>
          <w:sz w:val="20"/>
          <w:szCs w:val="20"/>
        </w:rPr>
        <w:t>to time on the department’s website (</w:t>
      </w:r>
      <w:hyperlink r:id="rId20" w:history="1">
        <w:r w:rsidR="00C2502A" w:rsidRPr="003D0D24">
          <w:rPr>
            <w:rStyle w:val="Hyperlink"/>
            <w:iCs/>
            <w:sz w:val="20"/>
            <w:szCs w:val="20"/>
          </w:rPr>
          <w:t>www.desbt.qld.gov.au/training</w:t>
        </w:r>
      </w:hyperlink>
      <w:r w:rsidRPr="00C2502A">
        <w:rPr>
          <w:iCs/>
          <w:sz w:val="20"/>
          <w:szCs w:val="20"/>
        </w:rPr>
        <w:t>) or other website notified by the department.</w:t>
      </w:r>
    </w:p>
    <w:p w14:paraId="0BE97E81" w14:textId="77777777" w:rsidR="00C2502A" w:rsidRPr="00C2502A" w:rsidRDefault="00C2502A" w:rsidP="00AA7419">
      <w:pPr>
        <w:rPr>
          <w:iCs/>
          <w:sz w:val="20"/>
          <w:szCs w:val="20"/>
        </w:rPr>
      </w:pPr>
    </w:p>
    <w:p w14:paraId="13B9A0C1" w14:textId="77777777" w:rsidR="00AA7419" w:rsidRPr="00C2502A" w:rsidRDefault="00AA7419" w:rsidP="00AA7419">
      <w:pPr>
        <w:widowControl w:val="0"/>
        <w:tabs>
          <w:tab w:val="left" w:pos="1272"/>
        </w:tabs>
        <w:kinsoku w:val="0"/>
        <w:overflowPunct w:val="0"/>
        <w:autoSpaceDE w:val="0"/>
        <w:autoSpaceDN w:val="0"/>
        <w:adjustRightInd w:val="0"/>
        <w:spacing w:before="116"/>
        <w:ind w:right="141"/>
        <w:rPr>
          <w:rFonts w:eastAsiaTheme="minorEastAsia" w:cs="Arial"/>
          <w:sz w:val="20"/>
          <w:szCs w:val="20"/>
        </w:rPr>
      </w:pPr>
      <w:proofErr w:type="gramStart"/>
      <w:r w:rsidRPr="00C2502A">
        <w:rPr>
          <w:rFonts w:eastAsiaTheme="minorEastAsia" w:cs="Arial"/>
          <w:b/>
          <w:sz w:val="20"/>
          <w:szCs w:val="20"/>
        </w:rPr>
        <w:lastRenderedPageBreak/>
        <w:t>entity</w:t>
      </w:r>
      <w:proofErr w:type="gramEnd"/>
      <w:r w:rsidRPr="00C2502A">
        <w:rPr>
          <w:rFonts w:eastAsiaTheme="minorEastAsia" w:cs="Arial"/>
          <w:sz w:val="20"/>
          <w:szCs w:val="20"/>
        </w:rPr>
        <w:t xml:space="preserve"> includes a corporation, a person, a partnership, an incorporated association and an unincorporated body.</w:t>
      </w:r>
    </w:p>
    <w:p w14:paraId="5358CC2D" w14:textId="77777777" w:rsidR="00AA7419" w:rsidRPr="00C2502A" w:rsidRDefault="00AA7419" w:rsidP="00AA7419">
      <w:pPr>
        <w:autoSpaceDE w:val="0"/>
        <w:autoSpaceDN w:val="0"/>
        <w:adjustRightInd w:val="0"/>
        <w:rPr>
          <w:rFonts w:cs="Arial"/>
          <w:b/>
          <w:sz w:val="20"/>
          <w:szCs w:val="20"/>
        </w:rPr>
      </w:pPr>
    </w:p>
    <w:p w14:paraId="109DBFCE" w14:textId="77777777" w:rsidR="00AA7419" w:rsidRPr="00C2502A" w:rsidRDefault="00AA7419" w:rsidP="00AA7419">
      <w:pPr>
        <w:autoSpaceDE w:val="0"/>
        <w:autoSpaceDN w:val="0"/>
        <w:adjustRightInd w:val="0"/>
        <w:rPr>
          <w:rFonts w:cs="Arial"/>
          <w:sz w:val="20"/>
          <w:szCs w:val="20"/>
          <w:lang w:eastAsia="zh-CN"/>
        </w:rPr>
      </w:pPr>
      <w:proofErr w:type="gramStart"/>
      <w:r w:rsidRPr="00C2502A">
        <w:rPr>
          <w:rFonts w:cs="Arial"/>
          <w:b/>
          <w:sz w:val="20"/>
          <w:szCs w:val="20"/>
        </w:rPr>
        <w:t>existing</w:t>
      </w:r>
      <w:proofErr w:type="gramEnd"/>
      <w:r w:rsidRPr="00C2502A">
        <w:rPr>
          <w:rFonts w:cs="Arial"/>
          <w:b/>
          <w:sz w:val="20"/>
          <w:szCs w:val="20"/>
        </w:rPr>
        <w:t xml:space="preserve"> worker</w:t>
      </w:r>
      <w:r w:rsidRPr="00C2502A">
        <w:rPr>
          <w:rFonts w:cs="Arial"/>
          <w:sz w:val="20"/>
          <w:szCs w:val="20"/>
        </w:rPr>
        <w:t xml:space="preserve"> means a current</w:t>
      </w:r>
      <w:r w:rsidRPr="00C2502A">
        <w:rPr>
          <w:sz w:val="20"/>
          <w:szCs w:val="20"/>
        </w:rPr>
        <w:t xml:space="preserve"> employee who has a one month or more employment relationship with their employer and has actively fulfilled work duties for this period. The one month working relationship could be full-time or on a part-time/casual employment equivalent basis. Existing workers have access to employee entitlements and therefore do not include volunteers. </w:t>
      </w:r>
      <w:r w:rsidRPr="00C2502A">
        <w:rPr>
          <w:rFonts w:cs="Arial"/>
          <w:sz w:val="20"/>
          <w:szCs w:val="20"/>
          <w:lang w:eastAsia="zh-CN"/>
        </w:rPr>
        <w:t>Registration with</w:t>
      </w:r>
    </w:p>
    <w:p w14:paraId="0ED3F311" w14:textId="77777777" w:rsidR="00AA7419" w:rsidRPr="00C2502A" w:rsidRDefault="00AA7419" w:rsidP="00AA7419">
      <w:pPr>
        <w:autoSpaceDE w:val="0"/>
        <w:autoSpaceDN w:val="0"/>
        <w:adjustRightInd w:val="0"/>
        <w:rPr>
          <w:rFonts w:cs="Arial"/>
          <w:sz w:val="20"/>
          <w:szCs w:val="20"/>
          <w:lang w:eastAsia="zh-CN"/>
        </w:rPr>
      </w:pPr>
      <w:proofErr w:type="gramStart"/>
      <w:r w:rsidRPr="00C2502A">
        <w:rPr>
          <w:rFonts w:cs="Arial"/>
          <w:sz w:val="20"/>
          <w:szCs w:val="20"/>
          <w:lang w:eastAsia="zh-CN"/>
        </w:rPr>
        <w:t>a</w:t>
      </w:r>
      <w:proofErr w:type="gramEnd"/>
      <w:r w:rsidRPr="00C2502A">
        <w:rPr>
          <w:rFonts w:cs="Arial"/>
          <w:sz w:val="20"/>
          <w:szCs w:val="20"/>
          <w:lang w:eastAsia="zh-CN"/>
        </w:rPr>
        <w:t xml:space="preserve"> Labour Hire Company does not satisfy the ‘existing worker’ requirement, unless at the</w:t>
      </w:r>
    </w:p>
    <w:p w14:paraId="7420939C" w14:textId="77777777" w:rsidR="00AA7419" w:rsidRPr="00C2502A" w:rsidRDefault="00AA7419" w:rsidP="00AA7419">
      <w:pPr>
        <w:autoSpaceDE w:val="0"/>
        <w:autoSpaceDN w:val="0"/>
        <w:adjustRightInd w:val="0"/>
        <w:rPr>
          <w:rFonts w:cs="Arial"/>
          <w:sz w:val="20"/>
          <w:szCs w:val="20"/>
          <w:lang w:eastAsia="zh-CN"/>
        </w:rPr>
      </w:pPr>
      <w:proofErr w:type="gramStart"/>
      <w:r w:rsidRPr="00C2502A">
        <w:rPr>
          <w:rFonts w:cs="Arial"/>
          <w:sz w:val="20"/>
          <w:szCs w:val="20"/>
          <w:lang w:eastAsia="zh-CN"/>
        </w:rPr>
        <w:t>commencement</w:t>
      </w:r>
      <w:proofErr w:type="gramEnd"/>
      <w:r w:rsidRPr="00C2502A">
        <w:rPr>
          <w:rFonts w:cs="Arial"/>
          <w:sz w:val="20"/>
          <w:szCs w:val="20"/>
          <w:lang w:eastAsia="zh-CN"/>
        </w:rPr>
        <w:t xml:space="preserve"> of the training the prospective student has been engaged in employment</w:t>
      </w:r>
    </w:p>
    <w:p w14:paraId="20CBCFF8"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roofErr w:type="gramStart"/>
      <w:r w:rsidRPr="00C2502A">
        <w:rPr>
          <w:rFonts w:cs="Arial"/>
          <w:sz w:val="20"/>
          <w:szCs w:val="20"/>
          <w:lang w:eastAsia="zh-CN"/>
        </w:rPr>
        <w:t>for</w:t>
      </w:r>
      <w:proofErr w:type="gramEnd"/>
      <w:r w:rsidRPr="00C2502A">
        <w:rPr>
          <w:rFonts w:cs="Arial"/>
          <w:sz w:val="20"/>
          <w:szCs w:val="20"/>
          <w:lang w:eastAsia="zh-CN"/>
        </w:rPr>
        <w:t xml:space="preserve"> a period of one month or more and is currently employed.</w:t>
      </w:r>
    </w:p>
    <w:p w14:paraId="45F62028"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0E3C67D1"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proofErr w:type="gramStart"/>
      <w:r w:rsidRPr="00C2502A">
        <w:rPr>
          <w:rFonts w:cs="Arial"/>
          <w:b/>
          <w:bCs/>
          <w:sz w:val="20"/>
          <w:szCs w:val="20"/>
        </w:rPr>
        <w:t>government</w:t>
      </w:r>
      <w:proofErr w:type="gramEnd"/>
      <w:r w:rsidRPr="00C2502A">
        <w:rPr>
          <w:rFonts w:cs="Arial"/>
          <w:b/>
          <w:bCs/>
          <w:sz w:val="20"/>
          <w:szCs w:val="20"/>
        </w:rPr>
        <w:t xml:space="preserve"> subsidy </w:t>
      </w:r>
      <w:r w:rsidRPr="00C2502A">
        <w:rPr>
          <w:rFonts w:cs="Arial"/>
          <w:bCs/>
          <w:sz w:val="20"/>
          <w:szCs w:val="20"/>
        </w:rPr>
        <w:t>means the amount of public funding the Queensland Government will contribute towards the cost of training and assessment services for an eligible student in a subsidised qualification or course</w:t>
      </w:r>
      <w:r w:rsidRPr="00C2502A">
        <w:rPr>
          <w:rFonts w:eastAsiaTheme="minorEastAsia" w:cs="Arial" w:hint="eastAsia"/>
          <w:bCs/>
          <w:sz w:val="20"/>
          <w:szCs w:val="20"/>
          <w:lang w:eastAsia="zh-CN"/>
        </w:rPr>
        <w:t>. T</w:t>
      </w:r>
      <w:r w:rsidRPr="00C2502A">
        <w:rPr>
          <w:rFonts w:cs="Arial"/>
          <w:bCs/>
          <w:sz w:val="20"/>
          <w:szCs w:val="20"/>
        </w:rPr>
        <w:t xml:space="preserve">he subsidy is paid directly to the PQS. </w:t>
      </w:r>
    </w:p>
    <w:p w14:paraId="3E6762C4"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4B6897CC" w14:textId="32DDB163" w:rsidR="00C2502A" w:rsidRPr="00C2502A" w:rsidRDefault="00AA7419" w:rsidP="00AA7419">
      <w:pPr>
        <w:rPr>
          <w:rStyle w:val="Hyperlink"/>
          <w:rFonts w:cs="Arial"/>
          <w:color w:val="auto"/>
          <w:sz w:val="20"/>
          <w:szCs w:val="20"/>
        </w:rPr>
      </w:pPr>
      <w:proofErr w:type="gramStart"/>
      <w:r w:rsidRPr="00C2502A">
        <w:rPr>
          <w:rFonts w:cs="Arial"/>
          <w:b/>
          <w:bCs/>
          <w:sz w:val="20"/>
          <w:szCs w:val="20"/>
        </w:rPr>
        <w:t>inclusive</w:t>
      </w:r>
      <w:proofErr w:type="gramEnd"/>
      <w:r w:rsidRPr="00C2502A">
        <w:rPr>
          <w:rFonts w:cs="Arial"/>
          <w:b/>
          <w:bCs/>
          <w:sz w:val="20"/>
          <w:szCs w:val="20"/>
        </w:rPr>
        <w:t xml:space="preserve"> practice </w:t>
      </w:r>
      <w:r w:rsidRPr="00C2502A">
        <w:rPr>
          <w:rFonts w:cs="Arial"/>
          <w:bCs/>
          <w:sz w:val="20"/>
          <w:szCs w:val="20"/>
        </w:rPr>
        <w:t>means a training and assessment approach where all students are supported, valued and respected for their differences as they develop new skills</w:t>
      </w:r>
      <w:r w:rsidRPr="00C2502A">
        <w:rPr>
          <w:rFonts w:eastAsiaTheme="minorEastAsia" w:cs="Arial" w:hint="eastAsia"/>
          <w:bCs/>
          <w:sz w:val="20"/>
          <w:szCs w:val="20"/>
          <w:lang w:eastAsia="zh-CN"/>
        </w:rPr>
        <w:t>. F</w:t>
      </w:r>
      <w:r w:rsidRPr="00C2502A">
        <w:rPr>
          <w:rFonts w:cs="Arial"/>
          <w:bCs/>
          <w:sz w:val="20"/>
          <w:szCs w:val="20"/>
        </w:rPr>
        <w:t>or further information</w:t>
      </w:r>
      <w:r w:rsidRPr="00C2502A">
        <w:rPr>
          <w:rFonts w:eastAsiaTheme="minorEastAsia" w:cs="Arial" w:hint="eastAsia"/>
          <w:bCs/>
          <w:sz w:val="20"/>
          <w:szCs w:val="20"/>
          <w:lang w:eastAsia="zh-CN"/>
        </w:rPr>
        <w:t>,</w:t>
      </w:r>
      <w:r w:rsidRPr="00C2502A">
        <w:rPr>
          <w:rFonts w:cs="Arial"/>
          <w:bCs/>
          <w:sz w:val="20"/>
          <w:szCs w:val="20"/>
        </w:rPr>
        <w:t xml:space="preserve"> see </w:t>
      </w:r>
      <w:r w:rsidRPr="00C2502A">
        <w:rPr>
          <w:rFonts w:cs="Arial"/>
          <w:bCs/>
          <w:sz w:val="20"/>
          <w:szCs w:val="20"/>
        </w:rPr>
        <w:br/>
      </w:r>
      <w:hyperlink r:id="rId21" w:history="1">
        <w:r w:rsidR="00C2502A" w:rsidRPr="003D0D24">
          <w:rPr>
            <w:rStyle w:val="Hyperlink"/>
            <w:rFonts w:cs="Arial"/>
            <w:sz w:val="20"/>
            <w:szCs w:val="20"/>
          </w:rPr>
          <w:t>www.desbt.qld.gov.au/training/providers/inclusive</w:t>
        </w:r>
      </w:hyperlink>
      <w:r w:rsidRPr="00C2502A">
        <w:rPr>
          <w:rStyle w:val="Hyperlink"/>
          <w:rFonts w:cs="Arial"/>
          <w:sz w:val="20"/>
          <w:szCs w:val="20"/>
        </w:rPr>
        <w:t>.</w:t>
      </w:r>
    </w:p>
    <w:p w14:paraId="2CD190A5" w14:textId="77777777" w:rsidR="00AA7419" w:rsidRPr="00C2502A" w:rsidRDefault="00AA7419" w:rsidP="00AA7419">
      <w:pPr>
        <w:rPr>
          <w:rFonts w:cs="Arial"/>
          <w:sz w:val="20"/>
          <w:szCs w:val="20"/>
        </w:rPr>
      </w:pPr>
    </w:p>
    <w:p w14:paraId="7EA6E0B4" w14:textId="77777777" w:rsidR="00AA7419" w:rsidRPr="00C2502A" w:rsidRDefault="00AA7419" w:rsidP="00AA7419">
      <w:pPr>
        <w:rPr>
          <w:rFonts w:cs="Arial"/>
          <w:sz w:val="20"/>
          <w:szCs w:val="20"/>
        </w:rPr>
      </w:pPr>
      <w:proofErr w:type="gramStart"/>
      <w:r w:rsidRPr="00C2502A">
        <w:rPr>
          <w:rFonts w:cs="Arial"/>
          <w:b/>
          <w:sz w:val="20"/>
          <w:szCs w:val="20"/>
        </w:rPr>
        <w:t>inducement</w:t>
      </w:r>
      <w:proofErr w:type="gramEnd"/>
      <w:r w:rsidRPr="00C2502A">
        <w:rPr>
          <w:rFonts w:cs="Arial"/>
          <w:b/>
          <w:sz w:val="20"/>
          <w:szCs w:val="20"/>
        </w:rPr>
        <w:t xml:space="preserve"> </w:t>
      </w:r>
      <w:r w:rsidRPr="00C2502A">
        <w:rPr>
          <w:rFonts w:cs="Arial"/>
          <w:sz w:val="20"/>
          <w:szCs w:val="20"/>
        </w:rPr>
        <w:t xml:space="preserve">means the offer of gifts or money to a person or business to entice or persuade that person or business. </w:t>
      </w:r>
    </w:p>
    <w:p w14:paraId="630766A1" w14:textId="77777777" w:rsidR="00AA7419" w:rsidRPr="00C2502A" w:rsidRDefault="00AA7419" w:rsidP="00AA7419">
      <w:pPr>
        <w:rPr>
          <w:rFonts w:cs="Arial"/>
          <w:b/>
          <w:bCs/>
          <w:sz w:val="20"/>
          <w:szCs w:val="20"/>
        </w:rPr>
      </w:pPr>
    </w:p>
    <w:p w14:paraId="2DF91777" w14:textId="77777777" w:rsidR="00AA7419" w:rsidRPr="00C2502A" w:rsidRDefault="00AA7419" w:rsidP="00AA7419">
      <w:pPr>
        <w:rPr>
          <w:rFonts w:cs="Arial"/>
          <w:sz w:val="20"/>
          <w:szCs w:val="20"/>
        </w:rPr>
      </w:pPr>
      <w:proofErr w:type="gramStart"/>
      <w:r w:rsidRPr="00C2502A">
        <w:rPr>
          <w:rFonts w:cs="Arial"/>
          <w:b/>
          <w:bCs/>
          <w:sz w:val="20"/>
          <w:szCs w:val="20"/>
        </w:rPr>
        <w:t>key</w:t>
      </w:r>
      <w:proofErr w:type="gramEnd"/>
      <w:r w:rsidRPr="00C2502A">
        <w:rPr>
          <w:rFonts w:cs="Arial"/>
          <w:b/>
          <w:bCs/>
          <w:sz w:val="20"/>
          <w:szCs w:val="20"/>
        </w:rPr>
        <w:t xml:space="preserve"> personnel</w:t>
      </w:r>
      <w:r w:rsidRPr="00C2502A">
        <w:rPr>
          <w:rFonts w:cs="Arial"/>
          <w:sz w:val="20"/>
          <w:szCs w:val="20"/>
        </w:rPr>
        <w:t xml:space="preserve"> means, in respect of an entity an individual:</w:t>
      </w:r>
    </w:p>
    <w:p w14:paraId="4805F610" w14:textId="77777777" w:rsidR="00AA7419" w:rsidRPr="00C2502A" w:rsidRDefault="00AA7419" w:rsidP="00AA7419">
      <w:pPr>
        <w:numPr>
          <w:ilvl w:val="0"/>
          <w:numId w:val="48"/>
        </w:numPr>
        <w:spacing w:after="200" w:line="276" w:lineRule="auto"/>
        <w:ind w:left="426" w:hanging="426"/>
        <w:contextualSpacing/>
        <w:rPr>
          <w:rFonts w:cs="Arial"/>
          <w:sz w:val="20"/>
          <w:szCs w:val="20"/>
        </w:rPr>
      </w:pPr>
      <w:r w:rsidRPr="00C2502A">
        <w:rPr>
          <w:rFonts w:cs="Arial"/>
          <w:sz w:val="20"/>
          <w:szCs w:val="20"/>
        </w:rPr>
        <w:t>who is concerned in or takes part in the management of the entity;</w:t>
      </w:r>
    </w:p>
    <w:p w14:paraId="27BDA8BE" w14:textId="77777777" w:rsidR="00AA7419" w:rsidRPr="00C2502A" w:rsidRDefault="00AA7419" w:rsidP="00AA7419">
      <w:pPr>
        <w:numPr>
          <w:ilvl w:val="0"/>
          <w:numId w:val="48"/>
        </w:numPr>
        <w:spacing w:after="200" w:line="276" w:lineRule="auto"/>
        <w:ind w:left="426" w:hanging="426"/>
        <w:contextualSpacing/>
        <w:rPr>
          <w:rFonts w:cs="Arial"/>
          <w:sz w:val="20"/>
          <w:szCs w:val="20"/>
        </w:rPr>
      </w:pPr>
      <w:r w:rsidRPr="00C2502A">
        <w:rPr>
          <w:rFonts w:cs="Arial"/>
          <w:sz w:val="20"/>
          <w:szCs w:val="20"/>
        </w:rPr>
        <w:t>who is an employee or agent of the entity with duties of such responsibility that his or her conduct may fairly be assumed to represent the entity in relation to its business;</w:t>
      </w:r>
    </w:p>
    <w:p w14:paraId="31FF4E33" w14:textId="77777777" w:rsidR="00AA7419" w:rsidRPr="00C2502A" w:rsidRDefault="00AA7419" w:rsidP="00AA7419">
      <w:pPr>
        <w:numPr>
          <w:ilvl w:val="0"/>
          <w:numId w:val="48"/>
        </w:numPr>
        <w:spacing w:after="200" w:line="276" w:lineRule="auto"/>
        <w:ind w:left="426" w:hanging="426"/>
        <w:contextualSpacing/>
        <w:rPr>
          <w:rFonts w:cs="Arial"/>
          <w:sz w:val="20"/>
          <w:szCs w:val="20"/>
        </w:rPr>
      </w:pPr>
      <w:r w:rsidRPr="00C2502A">
        <w:rPr>
          <w:rFonts w:cs="Arial"/>
          <w:sz w:val="20"/>
          <w:szCs w:val="20"/>
        </w:rPr>
        <w:t>who exercises a degree of control or influence over the management or direction of the entity including those who participate in making decisions that affect the business of the applicant or who has the capacity to significantly affect the future operations and financial standing;</w:t>
      </w:r>
    </w:p>
    <w:p w14:paraId="2A67D7D1" w14:textId="77777777" w:rsidR="00AA7419" w:rsidRPr="00C2502A" w:rsidRDefault="00AA7419" w:rsidP="00AA7419">
      <w:pPr>
        <w:numPr>
          <w:ilvl w:val="0"/>
          <w:numId w:val="48"/>
        </w:numPr>
        <w:spacing w:after="200" w:line="276" w:lineRule="auto"/>
        <w:ind w:left="426" w:hanging="426"/>
        <w:contextualSpacing/>
        <w:rPr>
          <w:rFonts w:cs="Arial"/>
          <w:sz w:val="20"/>
          <w:szCs w:val="20"/>
        </w:rPr>
      </w:pPr>
      <w:proofErr w:type="gramStart"/>
      <w:r w:rsidRPr="00C2502A">
        <w:rPr>
          <w:rFonts w:cs="Arial"/>
          <w:sz w:val="20"/>
          <w:szCs w:val="20"/>
        </w:rPr>
        <w:t>who</w:t>
      </w:r>
      <w:proofErr w:type="gramEnd"/>
      <w:r w:rsidRPr="00C2502A">
        <w:rPr>
          <w:rFonts w:cs="Arial"/>
          <w:sz w:val="20"/>
          <w:szCs w:val="20"/>
        </w:rPr>
        <w:t xml:space="preserve"> has the ability or capacity to determine the outcome of decisions about the financial and operating policies of the entity.</w:t>
      </w:r>
    </w:p>
    <w:p w14:paraId="6CCF25DE" w14:textId="77777777" w:rsidR="00AA7419" w:rsidRPr="00C2502A" w:rsidRDefault="00AA7419" w:rsidP="00AA7419">
      <w:pPr>
        <w:rPr>
          <w:rFonts w:cs="Arial"/>
          <w:sz w:val="20"/>
          <w:szCs w:val="20"/>
        </w:rPr>
      </w:pPr>
    </w:p>
    <w:p w14:paraId="61ECB7A6"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proofErr w:type="gramStart"/>
      <w:r w:rsidRPr="00C2502A">
        <w:rPr>
          <w:rFonts w:cs="Arial"/>
          <w:b/>
          <w:bCs/>
          <w:sz w:val="20"/>
          <w:szCs w:val="20"/>
        </w:rPr>
        <w:t>module</w:t>
      </w:r>
      <w:proofErr w:type="gramEnd"/>
      <w:r w:rsidRPr="00C2502A">
        <w:rPr>
          <w:rFonts w:cs="Arial"/>
          <w:b/>
          <w:bCs/>
          <w:sz w:val="20"/>
          <w:szCs w:val="20"/>
        </w:rPr>
        <w:t xml:space="preserve"> </w:t>
      </w:r>
      <w:r w:rsidRPr="00C2502A">
        <w:rPr>
          <w:rFonts w:cs="Arial"/>
          <w:bCs/>
          <w:sz w:val="20"/>
          <w:szCs w:val="20"/>
        </w:rPr>
        <w:t xml:space="preserve">means a unit of education or training that can be completed on its own or as part of an accredited course. Modules may also result in the attainment of one or more units of competency. </w:t>
      </w:r>
    </w:p>
    <w:p w14:paraId="514E3AD6"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r w:rsidRPr="00C2502A">
        <w:rPr>
          <w:rFonts w:cs="Arial"/>
          <w:bCs/>
          <w:sz w:val="20"/>
          <w:szCs w:val="20"/>
        </w:rPr>
        <w:t xml:space="preserve">For </w:t>
      </w:r>
      <w:r w:rsidRPr="00C2502A">
        <w:rPr>
          <w:rFonts w:cs="Arial"/>
          <w:b/>
          <w:bCs/>
          <w:sz w:val="20"/>
          <w:szCs w:val="20"/>
        </w:rPr>
        <w:t xml:space="preserve">module count </w:t>
      </w:r>
      <w:r w:rsidRPr="00C2502A">
        <w:rPr>
          <w:rFonts w:cs="Arial"/>
          <w:bCs/>
          <w:sz w:val="20"/>
          <w:szCs w:val="20"/>
        </w:rPr>
        <w:t xml:space="preserve">see </w:t>
      </w:r>
      <w:r w:rsidRPr="00C2502A">
        <w:rPr>
          <w:rFonts w:cs="Arial"/>
          <w:b/>
          <w:bCs/>
          <w:sz w:val="20"/>
          <w:szCs w:val="20"/>
        </w:rPr>
        <w:t>competency count</w:t>
      </w:r>
      <w:r w:rsidRPr="00C2502A">
        <w:rPr>
          <w:rFonts w:cs="Arial"/>
          <w:bCs/>
          <w:sz w:val="20"/>
          <w:szCs w:val="20"/>
        </w:rPr>
        <w:t>.</w:t>
      </w:r>
    </w:p>
    <w:p w14:paraId="41341449"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05FB079E"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r w:rsidRPr="00C2502A">
        <w:rPr>
          <w:rFonts w:cs="Arial"/>
          <w:b/>
          <w:bCs/>
          <w:sz w:val="20"/>
          <w:szCs w:val="20"/>
        </w:rPr>
        <w:t xml:space="preserve">National VET regulator </w:t>
      </w:r>
      <w:r w:rsidRPr="00C2502A">
        <w:rPr>
          <w:rFonts w:cs="Arial"/>
          <w:sz w:val="20"/>
          <w:szCs w:val="20"/>
        </w:rPr>
        <w:t xml:space="preserve">means the body established by section 155 of the </w:t>
      </w:r>
      <w:r w:rsidRPr="00C2502A">
        <w:rPr>
          <w:rFonts w:cs="Arial"/>
          <w:i/>
          <w:iCs/>
          <w:sz w:val="20"/>
          <w:szCs w:val="20"/>
        </w:rPr>
        <w:t>National Vocational Education and Training Regulator Act 2011</w:t>
      </w:r>
      <w:r w:rsidRPr="00C2502A">
        <w:rPr>
          <w:rFonts w:cs="Arial"/>
          <w:bCs/>
          <w:sz w:val="20"/>
          <w:szCs w:val="20"/>
        </w:rPr>
        <w:t>.</w:t>
      </w:r>
    </w:p>
    <w:p w14:paraId="0A5FFCBD" w14:textId="77777777" w:rsidR="00AA7419" w:rsidRPr="00C2502A" w:rsidRDefault="00AA7419" w:rsidP="00AA7419">
      <w:pPr>
        <w:tabs>
          <w:tab w:val="left" w:pos="567"/>
          <w:tab w:val="left" w:pos="1134"/>
          <w:tab w:val="left" w:pos="1701"/>
        </w:tabs>
        <w:rPr>
          <w:rFonts w:cs="Arial"/>
          <w:b/>
          <w:sz w:val="20"/>
          <w:szCs w:val="20"/>
        </w:rPr>
      </w:pPr>
    </w:p>
    <w:p w14:paraId="1F6F84F3" w14:textId="77777777" w:rsidR="00AA7419" w:rsidRPr="00C2502A" w:rsidRDefault="00AA7419" w:rsidP="00AA7419">
      <w:pPr>
        <w:tabs>
          <w:tab w:val="left" w:pos="567"/>
          <w:tab w:val="left" w:pos="1134"/>
          <w:tab w:val="left" w:pos="1701"/>
        </w:tabs>
        <w:autoSpaceDE w:val="0"/>
        <w:autoSpaceDN w:val="0"/>
        <w:adjustRightInd w:val="0"/>
        <w:rPr>
          <w:rFonts w:cs="Arial"/>
          <w:i/>
          <w:sz w:val="20"/>
          <w:szCs w:val="20"/>
        </w:rPr>
      </w:pPr>
      <w:r w:rsidRPr="00C2502A">
        <w:rPr>
          <w:rFonts w:cs="Arial"/>
          <w:b/>
          <w:bCs/>
          <w:sz w:val="20"/>
          <w:szCs w:val="20"/>
        </w:rPr>
        <w:t xml:space="preserve">NVR registered training organisation </w:t>
      </w:r>
      <w:r w:rsidRPr="00C2502A">
        <w:rPr>
          <w:rFonts w:cs="Arial"/>
          <w:sz w:val="20"/>
          <w:szCs w:val="20"/>
        </w:rPr>
        <w:t xml:space="preserve">means an organisation registered by the National VET Regulator as a registered training organisation under the </w:t>
      </w:r>
      <w:r w:rsidRPr="00C2502A">
        <w:rPr>
          <w:rFonts w:cs="Arial"/>
          <w:i/>
          <w:sz w:val="20"/>
          <w:szCs w:val="20"/>
        </w:rPr>
        <w:t xml:space="preserve">National Vocational Education and Training Regulator Act 2011. </w:t>
      </w:r>
    </w:p>
    <w:p w14:paraId="144C3127"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p>
    <w:p w14:paraId="4A065499" w14:textId="77777777" w:rsidR="00AA7419" w:rsidRPr="00C2502A" w:rsidRDefault="00AA7419" w:rsidP="00AA7419">
      <w:pPr>
        <w:pStyle w:val="Defns"/>
        <w:tabs>
          <w:tab w:val="left" w:pos="567"/>
          <w:tab w:val="left" w:pos="1134"/>
          <w:tab w:val="left" w:pos="1701"/>
        </w:tabs>
        <w:spacing w:after="0"/>
        <w:ind w:left="0"/>
        <w:rPr>
          <w:rFonts w:ascii="Arial" w:hAnsi="Arial" w:cs="Arial"/>
          <w:sz w:val="20"/>
        </w:rPr>
      </w:pPr>
      <w:proofErr w:type="gramStart"/>
      <w:r w:rsidRPr="00C2502A">
        <w:rPr>
          <w:rFonts w:ascii="Arial" w:hAnsi="Arial" w:cs="Arial"/>
          <w:b/>
          <w:sz w:val="20"/>
        </w:rPr>
        <w:t>pre-qualified</w:t>
      </w:r>
      <w:proofErr w:type="gramEnd"/>
      <w:r w:rsidRPr="00C2502A">
        <w:rPr>
          <w:rFonts w:ascii="Arial" w:hAnsi="Arial" w:cs="Arial"/>
          <w:b/>
          <w:sz w:val="20"/>
        </w:rPr>
        <w:t xml:space="preserve"> supplier (PQS) </w:t>
      </w:r>
      <w:r w:rsidRPr="00C2502A">
        <w:rPr>
          <w:rFonts w:ascii="Arial" w:hAnsi="Arial" w:cs="Arial"/>
          <w:sz w:val="20"/>
        </w:rPr>
        <w:t>means a registered training organisation pre-approved by the department to deliver publicly funded training and assessment services for a program in Queensland (also referred to as ‘supplier’ in the PQS Agreement).</w:t>
      </w:r>
    </w:p>
    <w:p w14:paraId="6FE84A98" w14:textId="77777777" w:rsidR="00AA7419" w:rsidRPr="00C2502A" w:rsidRDefault="00AA7419" w:rsidP="00AA7419">
      <w:pPr>
        <w:pStyle w:val="Defns"/>
        <w:tabs>
          <w:tab w:val="left" w:pos="567"/>
          <w:tab w:val="left" w:pos="1134"/>
          <w:tab w:val="left" w:pos="1701"/>
        </w:tabs>
        <w:spacing w:after="0"/>
        <w:ind w:left="0"/>
        <w:rPr>
          <w:rFonts w:ascii="Arial" w:hAnsi="Arial" w:cs="Arial"/>
          <w:b/>
          <w:sz w:val="20"/>
        </w:rPr>
      </w:pPr>
    </w:p>
    <w:p w14:paraId="3D82A154" w14:textId="77777777" w:rsidR="00AA7419" w:rsidRPr="00C2502A" w:rsidRDefault="00AA7419" w:rsidP="00AA7419">
      <w:pPr>
        <w:tabs>
          <w:tab w:val="num" w:pos="2160"/>
        </w:tabs>
        <w:rPr>
          <w:rFonts w:cs="Arial"/>
          <w:color w:val="000000"/>
          <w:sz w:val="20"/>
          <w:szCs w:val="20"/>
        </w:rPr>
      </w:pPr>
      <w:proofErr w:type="gramStart"/>
      <w:r w:rsidRPr="00C2502A">
        <w:rPr>
          <w:rFonts w:cs="Arial"/>
          <w:b/>
          <w:sz w:val="20"/>
          <w:szCs w:val="20"/>
        </w:rPr>
        <w:t>program</w:t>
      </w:r>
      <w:proofErr w:type="gramEnd"/>
      <w:r w:rsidRPr="00C2502A">
        <w:rPr>
          <w:rFonts w:cs="Arial"/>
          <w:b/>
          <w:sz w:val="20"/>
          <w:szCs w:val="20"/>
        </w:rPr>
        <w:t xml:space="preserve"> </w:t>
      </w:r>
      <w:r w:rsidRPr="00C2502A">
        <w:rPr>
          <w:rFonts w:cs="Arial"/>
          <w:sz w:val="20"/>
          <w:szCs w:val="20"/>
        </w:rPr>
        <w:t xml:space="preserve">means </w:t>
      </w:r>
      <w:r w:rsidRPr="00C2502A">
        <w:rPr>
          <w:rFonts w:cs="Arial"/>
          <w:color w:val="000000"/>
          <w:sz w:val="20"/>
          <w:szCs w:val="20"/>
        </w:rPr>
        <w:t>a Queensland Government investment program for subsidising</w:t>
      </w:r>
      <w:r w:rsidRPr="00C2502A">
        <w:rPr>
          <w:rFonts w:cs="Arial"/>
          <w:sz w:val="20"/>
          <w:szCs w:val="20"/>
        </w:rPr>
        <w:t xml:space="preserve"> training and assessment services to achieve a nationally recognised training outcome for eligible students.  </w:t>
      </w:r>
    </w:p>
    <w:p w14:paraId="5773F3F2" w14:textId="77777777" w:rsidR="00AA7419" w:rsidRPr="00C2502A" w:rsidRDefault="00AA7419" w:rsidP="00AA7419">
      <w:pPr>
        <w:pStyle w:val="Defns"/>
        <w:tabs>
          <w:tab w:val="left" w:pos="567"/>
          <w:tab w:val="left" w:pos="1134"/>
          <w:tab w:val="left" w:pos="1701"/>
        </w:tabs>
        <w:spacing w:after="0"/>
        <w:ind w:left="0"/>
        <w:rPr>
          <w:rFonts w:ascii="Arial" w:hAnsi="Arial" w:cs="Arial"/>
          <w:b/>
          <w:sz w:val="20"/>
          <w:lang w:val="en-AU"/>
        </w:rPr>
      </w:pPr>
    </w:p>
    <w:p w14:paraId="1662825A" w14:textId="77777777" w:rsidR="00AA7419" w:rsidRPr="00C2502A" w:rsidRDefault="00AA7419" w:rsidP="00AA7419">
      <w:pPr>
        <w:pStyle w:val="Defns"/>
        <w:tabs>
          <w:tab w:val="left" w:pos="567"/>
          <w:tab w:val="left" w:pos="1134"/>
          <w:tab w:val="left" w:pos="1701"/>
        </w:tabs>
        <w:spacing w:after="0"/>
        <w:ind w:left="0"/>
        <w:rPr>
          <w:rFonts w:ascii="Arial" w:hAnsi="Arial" w:cs="Arial"/>
          <w:sz w:val="20"/>
        </w:rPr>
      </w:pPr>
      <w:proofErr w:type="gramStart"/>
      <w:r w:rsidRPr="00C2502A">
        <w:rPr>
          <w:rFonts w:ascii="Arial" w:hAnsi="Arial" w:cs="Arial"/>
          <w:b/>
          <w:sz w:val="20"/>
        </w:rPr>
        <w:t>recognition</w:t>
      </w:r>
      <w:proofErr w:type="gramEnd"/>
      <w:r w:rsidRPr="00C2502A">
        <w:rPr>
          <w:rFonts w:ascii="Arial" w:hAnsi="Arial" w:cs="Arial"/>
          <w:b/>
          <w:sz w:val="20"/>
        </w:rPr>
        <w:t xml:space="preserve"> of prior learning </w:t>
      </w:r>
      <w:r w:rsidRPr="00C2502A">
        <w:rPr>
          <w:rFonts w:ascii="Arial" w:hAnsi="Arial" w:cs="Arial"/>
          <w:sz w:val="20"/>
        </w:rPr>
        <w:t xml:space="preserve">or </w:t>
      </w:r>
      <w:r w:rsidRPr="00C2502A">
        <w:rPr>
          <w:rFonts w:ascii="Arial" w:hAnsi="Arial" w:cs="Arial"/>
          <w:b/>
          <w:sz w:val="20"/>
        </w:rPr>
        <w:t xml:space="preserve">RPL </w:t>
      </w:r>
      <w:r w:rsidRPr="00C2502A">
        <w:rPr>
          <w:rFonts w:ascii="Arial" w:hAnsi="Arial" w:cs="Arial"/>
          <w:sz w:val="20"/>
        </w:rPr>
        <w:t>means an assessment process that assesses an individual’s formal, non-formal and informal learning to determine the extent to which that individual has achieved the required learning outcomes, competency outcomes, or standards for entry to, and/or partial or total completion of, a VET qualification.</w:t>
      </w:r>
    </w:p>
    <w:p w14:paraId="5C2F7EB3" w14:textId="77777777" w:rsidR="00AA7419" w:rsidRPr="00C2502A" w:rsidRDefault="00AA7419" w:rsidP="00AA7419">
      <w:pPr>
        <w:tabs>
          <w:tab w:val="left" w:pos="567"/>
          <w:tab w:val="left" w:pos="1134"/>
          <w:tab w:val="left" w:pos="1701"/>
        </w:tabs>
        <w:rPr>
          <w:rFonts w:cs="Arial"/>
          <w:b/>
          <w:sz w:val="20"/>
          <w:szCs w:val="20"/>
        </w:rPr>
      </w:pPr>
    </w:p>
    <w:p w14:paraId="251C8839" w14:textId="77777777" w:rsidR="00AA7419" w:rsidRPr="00C2502A" w:rsidRDefault="00AA7419" w:rsidP="00AA7419">
      <w:pPr>
        <w:pStyle w:val="Defns"/>
        <w:tabs>
          <w:tab w:val="left" w:pos="567"/>
          <w:tab w:val="left" w:pos="1134"/>
          <w:tab w:val="left" w:pos="1701"/>
        </w:tabs>
        <w:spacing w:after="0"/>
        <w:ind w:left="0"/>
        <w:rPr>
          <w:rFonts w:ascii="Arial" w:hAnsi="Arial" w:cs="Arial"/>
          <w:sz w:val="20"/>
        </w:rPr>
      </w:pPr>
      <w:proofErr w:type="gramStart"/>
      <w:r w:rsidRPr="00C2502A">
        <w:rPr>
          <w:rFonts w:ascii="Arial" w:hAnsi="Arial" w:cs="Arial"/>
          <w:b/>
          <w:sz w:val="20"/>
        </w:rPr>
        <w:t>record</w:t>
      </w:r>
      <w:proofErr w:type="gramEnd"/>
      <w:r w:rsidRPr="00C2502A">
        <w:rPr>
          <w:rFonts w:ascii="Arial" w:hAnsi="Arial" w:cs="Arial"/>
          <w:b/>
          <w:sz w:val="20"/>
        </w:rPr>
        <w:t xml:space="preserve"> </w:t>
      </w:r>
      <w:r w:rsidRPr="00C2502A">
        <w:rPr>
          <w:rFonts w:ascii="Arial" w:hAnsi="Arial" w:cs="Arial"/>
          <w:sz w:val="20"/>
        </w:rPr>
        <w:t xml:space="preserve">means a written, printed or electronic document providing evidence that activities have been performed. </w:t>
      </w:r>
    </w:p>
    <w:p w14:paraId="52A2BB76" w14:textId="77777777" w:rsidR="00AA7419" w:rsidRPr="00C2502A" w:rsidRDefault="00AA7419" w:rsidP="00AA7419">
      <w:pPr>
        <w:pStyle w:val="Defns"/>
        <w:tabs>
          <w:tab w:val="left" w:pos="567"/>
          <w:tab w:val="left" w:pos="1134"/>
          <w:tab w:val="left" w:pos="1701"/>
        </w:tabs>
        <w:spacing w:after="0"/>
        <w:ind w:left="0"/>
        <w:rPr>
          <w:rFonts w:ascii="Arial" w:hAnsi="Arial" w:cs="Arial"/>
          <w:sz w:val="20"/>
        </w:rPr>
      </w:pPr>
    </w:p>
    <w:p w14:paraId="47FE8604" w14:textId="77777777" w:rsidR="00AA7419" w:rsidRPr="00C2502A" w:rsidRDefault="00AA7419" w:rsidP="00AA7419">
      <w:pPr>
        <w:autoSpaceDE w:val="0"/>
        <w:autoSpaceDN w:val="0"/>
        <w:rPr>
          <w:rFonts w:cs="Arial"/>
          <w:sz w:val="20"/>
          <w:szCs w:val="20"/>
        </w:rPr>
      </w:pPr>
      <w:proofErr w:type="gramStart"/>
      <w:r w:rsidRPr="00C2502A">
        <w:rPr>
          <w:rFonts w:cs="Arial"/>
          <w:b/>
          <w:sz w:val="20"/>
          <w:szCs w:val="20"/>
        </w:rPr>
        <w:lastRenderedPageBreak/>
        <w:t>record</w:t>
      </w:r>
      <w:proofErr w:type="gramEnd"/>
      <w:r w:rsidRPr="00C2502A">
        <w:rPr>
          <w:rFonts w:cs="Arial"/>
          <w:b/>
          <w:sz w:val="20"/>
          <w:szCs w:val="20"/>
        </w:rPr>
        <w:t xml:space="preserve"> of results </w:t>
      </w:r>
      <w:r w:rsidRPr="00C2502A">
        <w:rPr>
          <w:rFonts w:cs="Arial"/>
          <w:sz w:val="20"/>
          <w:szCs w:val="20"/>
        </w:rPr>
        <w:t xml:space="preserve">means </w:t>
      </w:r>
      <w:r w:rsidRPr="00C2502A">
        <w:rPr>
          <w:rFonts w:cs="Arial"/>
          <w:color w:val="231F20"/>
          <w:sz w:val="20"/>
          <w:szCs w:val="20"/>
        </w:rPr>
        <w:t xml:space="preserve">a record of all learning leading to an AQF qualification or an accredited unit in which a student is enrolled and is issued by an authorised issuing organisation. In Australia this may be called a transcript of results, academic transcript, </w:t>
      </w:r>
      <w:proofErr w:type="gramStart"/>
      <w:r w:rsidRPr="00C2502A">
        <w:rPr>
          <w:rFonts w:cs="Arial"/>
          <w:color w:val="231F20"/>
          <w:sz w:val="20"/>
          <w:szCs w:val="20"/>
        </w:rPr>
        <w:t>record</w:t>
      </w:r>
      <w:proofErr w:type="gramEnd"/>
      <w:r w:rsidRPr="00C2502A">
        <w:rPr>
          <w:rFonts w:cs="Arial"/>
          <w:color w:val="231F20"/>
          <w:sz w:val="20"/>
          <w:szCs w:val="20"/>
        </w:rPr>
        <w:t xml:space="preserve"> of achievement or statement of results.</w:t>
      </w:r>
    </w:p>
    <w:p w14:paraId="0A6833BA" w14:textId="77777777" w:rsidR="00AA7419" w:rsidRPr="00C2502A" w:rsidRDefault="00AA7419" w:rsidP="00AA7419">
      <w:pPr>
        <w:pStyle w:val="Defns"/>
        <w:tabs>
          <w:tab w:val="left" w:pos="567"/>
          <w:tab w:val="left" w:pos="1134"/>
          <w:tab w:val="left" w:pos="1701"/>
        </w:tabs>
        <w:spacing w:after="0"/>
        <w:ind w:left="0"/>
        <w:rPr>
          <w:rFonts w:ascii="Arial" w:hAnsi="Arial" w:cs="Arial"/>
          <w:b/>
          <w:sz w:val="20"/>
          <w:lang w:val="en-AU"/>
        </w:rPr>
      </w:pPr>
    </w:p>
    <w:p w14:paraId="5A952C1A" w14:textId="77777777" w:rsidR="00AA7419" w:rsidRPr="00C2502A" w:rsidRDefault="00AA7419" w:rsidP="00AA7419">
      <w:pPr>
        <w:pStyle w:val="Defns"/>
        <w:tabs>
          <w:tab w:val="left" w:pos="567"/>
          <w:tab w:val="left" w:pos="1134"/>
          <w:tab w:val="left" w:pos="1701"/>
        </w:tabs>
        <w:spacing w:after="0"/>
        <w:ind w:left="0"/>
        <w:rPr>
          <w:rFonts w:ascii="Arial" w:hAnsi="Arial" w:cs="Arial"/>
          <w:sz w:val="20"/>
        </w:rPr>
      </w:pPr>
      <w:proofErr w:type="gramStart"/>
      <w:r w:rsidRPr="00C2502A">
        <w:rPr>
          <w:rFonts w:ascii="Arial" w:hAnsi="Arial" w:cs="Arial"/>
          <w:b/>
          <w:sz w:val="20"/>
        </w:rPr>
        <w:t>registration</w:t>
      </w:r>
      <w:proofErr w:type="gramEnd"/>
      <w:r w:rsidRPr="00C2502A">
        <w:rPr>
          <w:rFonts w:ascii="Arial" w:hAnsi="Arial" w:cs="Arial"/>
          <w:b/>
          <w:sz w:val="20"/>
        </w:rPr>
        <w:t xml:space="preserve"> </w:t>
      </w:r>
      <w:r w:rsidRPr="00C2502A">
        <w:rPr>
          <w:rFonts w:ascii="Arial" w:hAnsi="Arial" w:cs="Arial"/>
          <w:sz w:val="20"/>
        </w:rPr>
        <w:t xml:space="preserve">means formal registration by the National VET Regulator under the Act. A training organisation/person covered by the Act must be registered in order to deliver and assess nationally </w:t>
      </w:r>
      <w:proofErr w:type="spellStart"/>
      <w:r w:rsidRPr="00C2502A">
        <w:rPr>
          <w:rFonts w:ascii="Arial" w:hAnsi="Arial" w:cs="Arial"/>
          <w:sz w:val="20"/>
        </w:rPr>
        <w:t>recognised</w:t>
      </w:r>
      <w:proofErr w:type="spellEnd"/>
      <w:r w:rsidRPr="00C2502A">
        <w:rPr>
          <w:rFonts w:ascii="Arial" w:hAnsi="Arial" w:cs="Arial"/>
          <w:sz w:val="20"/>
        </w:rPr>
        <w:t xml:space="preserve"> training, and issue nationally </w:t>
      </w:r>
      <w:proofErr w:type="spellStart"/>
      <w:r w:rsidRPr="00C2502A">
        <w:rPr>
          <w:rFonts w:ascii="Arial" w:hAnsi="Arial" w:cs="Arial"/>
          <w:sz w:val="20"/>
        </w:rPr>
        <w:t>recognised</w:t>
      </w:r>
      <w:proofErr w:type="spellEnd"/>
      <w:r w:rsidRPr="00C2502A">
        <w:rPr>
          <w:rFonts w:ascii="Arial" w:hAnsi="Arial" w:cs="Arial"/>
          <w:sz w:val="20"/>
        </w:rPr>
        <w:t xml:space="preserve"> VET qualifications. </w:t>
      </w:r>
    </w:p>
    <w:p w14:paraId="27C9D0DE" w14:textId="77777777" w:rsidR="00AA7419" w:rsidRPr="00C2502A" w:rsidRDefault="00AA7419" w:rsidP="00AA7419">
      <w:pPr>
        <w:pStyle w:val="Defns"/>
        <w:tabs>
          <w:tab w:val="left" w:pos="567"/>
          <w:tab w:val="left" w:pos="1134"/>
          <w:tab w:val="left" w:pos="1701"/>
        </w:tabs>
        <w:spacing w:after="0"/>
        <w:ind w:left="0"/>
        <w:rPr>
          <w:rFonts w:ascii="Arial" w:hAnsi="Arial" w:cs="Arial"/>
          <w:b/>
          <w:sz w:val="20"/>
        </w:rPr>
      </w:pPr>
    </w:p>
    <w:p w14:paraId="045E8BF3" w14:textId="77777777" w:rsidR="00AA7419" w:rsidRPr="00C2502A" w:rsidRDefault="00AA7419" w:rsidP="00AA7419">
      <w:pPr>
        <w:pStyle w:val="Defns"/>
        <w:tabs>
          <w:tab w:val="left" w:pos="567"/>
          <w:tab w:val="left" w:pos="1134"/>
          <w:tab w:val="left" w:pos="1701"/>
        </w:tabs>
        <w:spacing w:after="0"/>
        <w:ind w:left="0"/>
        <w:rPr>
          <w:rFonts w:ascii="Arial" w:hAnsi="Arial" w:cs="Arial"/>
          <w:sz w:val="20"/>
        </w:rPr>
      </w:pPr>
      <w:r w:rsidRPr="00C2502A">
        <w:rPr>
          <w:rFonts w:ascii="Arial" w:hAnsi="Arial" w:cs="Arial"/>
          <w:b/>
          <w:sz w:val="20"/>
        </w:rPr>
        <w:t xml:space="preserve">Related Body Corporate </w:t>
      </w:r>
      <w:r w:rsidRPr="00C2502A">
        <w:rPr>
          <w:rFonts w:ascii="Arial" w:hAnsi="Arial" w:cs="Arial"/>
          <w:sz w:val="20"/>
        </w:rPr>
        <w:t xml:space="preserve">has the meaning given to related body corporate in the </w:t>
      </w:r>
      <w:r w:rsidRPr="00C2502A">
        <w:rPr>
          <w:rFonts w:ascii="Arial" w:hAnsi="Arial" w:cs="Arial"/>
          <w:i/>
          <w:sz w:val="20"/>
        </w:rPr>
        <w:t>Corporations Act</w:t>
      </w:r>
      <w:r w:rsidRPr="00C2502A">
        <w:rPr>
          <w:rFonts w:ascii="Arial" w:hAnsi="Arial" w:cs="Arial"/>
          <w:sz w:val="20"/>
        </w:rPr>
        <w:t xml:space="preserve"> 2001 (</w:t>
      </w:r>
      <w:proofErr w:type="spellStart"/>
      <w:r w:rsidRPr="00C2502A">
        <w:rPr>
          <w:rFonts w:ascii="Arial" w:hAnsi="Arial" w:cs="Arial"/>
          <w:sz w:val="20"/>
        </w:rPr>
        <w:t>Cth</w:t>
      </w:r>
      <w:proofErr w:type="spellEnd"/>
      <w:r w:rsidRPr="00C2502A">
        <w:rPr>
          <w:rFonts w:ascii="Arial" w:hAnsi="Arial" w:cs="Arial"/>
          <w:sz w:val="20"/>
        </w:rPr>
        <w:t>).</w:t>
      </w:r>
    </w:p>
    <w:p w14:paraId="3A2B9EB4" w14:textId="77777777" w:rsidR="00AA7419" w:rsidRPr="00C2502A" w:rsidRDefault="00AA7419" w:rsidP="00AA7419">
      <w:pPr>
        <w:pStyle w:val="Defns"/>
        <w:tabs>
          <w:tab w:val="left" w:pos="567"/>
          <w:tab w:val="left" w:pos="1134"/>
          <w:tab w:val="left" w:pos="1701"/>
        </w:tabs>
        <w:spacing w:after="0"/>
        <w:ind w:left="0"/>
        <w:rPr>
          <w:rFonts w:ascii="Arial" w:hAnsi="Arial" w:cs="Arial"/>
          <w:b/>
          <w:sz w:val="20"/>
        </w:rPr>
      </w:pPr>
    </w:p>
    <w:p w14:paraId="3674266C" w14:textId="77777777" w:rsidR="00AA7419" w:rsidRPr="00C2502A" w:rsidRDefault="00AA7419" w:rsidP="00AA7419">
      <w:pPr>
        <w:pStyle w:val="Defns"/>
        <w:tabs>
          <w:tab w:val="left" w:pos="567"/>
          <w:tab w:val="left" w:pos="1134"/>
          <w:tab w:val="left" w:pos="1701"/>
        </w:tabs>
        <w:spacing w:after="0"/>
        <w:ind w:left="0"/>
        <w:rPr>
          <w:rFonts w:ascii="Arial" w:hAnsi="Arial" w:cs="Arial"/>
          <w:sz w:val="20"/>
        </w:rPr>
      </w:pPr>
      <w:r w:rsidRPr="00C2502A">
        <w:rPr>
          <w:rFonts w:ascii="Arial" w:hAnsi="Arial" w:cs="Arial"/>
          <w:b/>
          <w:sz w:val="20"/>
        </w:rPr>
        <w:t xml:space="preserve">RTO </w:t>
      </w:r>
      <w:r w:rsidRPr="00C2502A">
        <w:rPr>
          <w:rFonts w:ascii="Arial" w:hAnsi="Arial" w:cs="Arial"/>
          <w:sz w:val="20"/>
        </w:rPr>
        <w:t xml:space="preserve">means a training organisation listed on the National Register as a registered training organisation. </w:t>
      </w:r>
    </w:p>
    <w:p w14:paraId="20F2DE92" w14:textId="77777777" w:rsidR="00AA7419" w:rsidRPr="00C2502A" w:rsidRDefault="00AA7419" w:rsidP="00AA7419">
      <w:pPr>
        <w:tabs>
          <w:tab w:val="left" w:pos="567"/>
          <w:tab w:val="left" w:pos="1134"/>
          <w:tab w:val="left" w:pos="1701"/>
        </w:tabs>
        <w:rPr>
          <w:rFonts w:cs="Arial"/>
          <w:sz w:val="20"/>
          <w:szCs w:val="20"/>
        </w:rPr>
      </w:pPr>
    </w:p>
    <w:p w14:paraId="205138A5" w14:textId="77777777" w:rsidR="00AA7419" w:rsidRPr="00C2502A" w:rsidRDefault="00AA7419" w:rsidP="00AA7419">
      <w:pPr>
        <w:pStyle w:val="NormalWeb"/>
        <w:shd w:val="clear" w:color="auto" w:fill="FFFFFF"/>
        <w:rPr>
          <w:rFonts w:ascii="Arial" w:hAnsi="Arial" w:cs="Arial"/>
          <w:color w:val="000000" w:themeColor="text1"/>
          <w:sz w:val="20"/>
          <w:szCs w:val="20"/>
          <w:lang w:eastAsia="en-US"/>
        </w:rPr>
      </w:pPr>
      <w:proofErr w:type="gramStart"/>
      <w:r w:rsidRPr="00C2502A">
        <w:rPr>
          <w:rFonts w:ascii="Arial" w:hAnsi="Arial" w:cs="Arial"/>
          <w:b/>
          <w:sz w:val="20"/>
          <w:szCs w:val="20"/>
        </w:rPr>
        <w:t>scope</w:t>
      </w:r>
      <w:proofErr w:type="gramEnd"/>
      <w:r w:rsidRPr="00C2502A">
        <w:rPr>
          <w:rFonts w:ascii="Arial" w:hAnsi="Arial" w:cs="Arial"/>
          <w:b/>
          <w:sz w:val="20"/>
          <w:szCs w:val="20"/>
        </w:rPr>
        <w:t xml:space="preserve"> of registration</w:t>
      </w:r>
      <w:r w:rsidRPr="00C2502A">
        <w:rPr>
          <w:rFonts w:ascii="Arial" w:hAnsi="Arial" w:cs="Arial"/>
          <w:sz w:val="20"/>
          <w:szCs w:val="20"/>
        </w:rPr>
        <w:t xml:space="preserve"> means the training products for which an RTO is registered to issue AQF certification documentation. It allows the RTO to provide (a) both training delivery and assessment resulting in the issuance of AQF certification documentation by the RTO; or (b) assessment resulting in the issuance of AQF certification documentation by the RTO.</w:t>
      </w:r>
    </w:p>
    <w:p w14:paraId="66F6CEDB" w14:textId="77777777" w:rsidR="00AA7419" w:rsidRPr="00C2502A" w:rsidRDefault="00AA7419" w:rsidP="00AA7419">
      <w:pPr>
        <w:pStyle w:val="Defns"/>
        <w:tabs>
          <w:tab w:val="left" w:pos="567"/>
          <w:tab w:val="left" w:pos="1134"/>
          <w:tab w:val="left" w:pos="1701"/>
        </w:tabs>
        <w:spacing w:after="0"/>
        <w:ind w:left="0"/>
        <w:rPr>
          <w:rFonts w:ascii="Arial" w:hAnsi="Arial" w:cs="Arial"/>
          <w:b/>
          <w:sz w:val="20"/>
        </w:rPr>
      </w:pPr>
    </w:p>
    <w:p w14:paraId="256A9B40" w14:textId="77777777" w:rsidR="00AA7419" w:rsidRPr="00C2502A" w:rsidRDefault="00AA7419" w:rsidP="00AA7419">
      <w:pPr>
        <w:tabs>
          <w:tab w:val="left" w:pos="567"/>
          <w:tab w:val="left" w:pos="1134"/>
          <w:tab w:val="left" w:pos="1701"/>
        </w:tabs>
        <w:rPr>
          <w:rFonts w:cs="Arial"/>
          <w:sz w:val="20"/>
          <w:szCs w:val="20"/>
        </w:rPr>
      </w:pPr>
      <w:proofErr w:type="gramStart"/>
      <w:r w:rsidRPr="00C2502A">
        <w:rPr>
          <w:rFonts w:cs="Arial"/>
          <w:b/>
          <w:sz w:val="20"/>
          <w:szCs w:val="20"/>
        </w:rPr>
        <w:t>skill</w:t>
      </w:r>
      <w:proofErr w:type="gramEnd"/>
      <w:r w:rsidRPr="00C2502A">
        <w:rPr>
          <w:rFonts w:cs="Arial"/>
          <w:b/>
          <w:sz w:val="20"/>
          <w:szCs w:val="20"/>
        </w:rPr>
        <w:t xml:space="preserve"> set</w:t>
      </w:r>
      <w:r w:rsidRPr="00C2502A">
        <w:rPr>
          <w:rFonts w:cs="Arial"/>
          <w:sz w:val="20"/>
          <w:szCs w:val="20"/>
        </w:rPr>
        <w:t xml:space="preserve"> means a single unit of competency or combination of units of competency from one or more training packages that link to a licence, regulatory requirement or defined industry need. Nationally endorsed skill sets have been approved by ASQA and assigned a code for reporting purposes. </w:t>
      </w:r>
      <w:r w:rsidRPr="00C2502A">
        <w:rPr>
          <w:rFonts w:cs="Arial"/>
          <w:sz w:val="20"/>
          <w:szCs w:val="20"/>
        </w:rPr>
        <w:br/>
        <w:t>Priority skill sets subsidised under this PQS Policy are published on the Priority Skills List on the department’s website.</w:t>
      </w:r>
    </w:p>
    <w:p w14:paraId="05D2AB1D" w14:textId="77777777" w:rsidR="00AA7419" w:rsidRPr="00C2502A" w:rsidRDefault="00AA7419" w:rsidP="00AA7419">
      <w:pPr>
        <w:tabs>
          <w:tab w:val="left" w:pos="567"/>
          <w:tab w:val="left" w:pos="1134"/>
          <w:tab w:val="left" w:pos="1701"/>
        </w:tabs>
        <w:rPr>
          <w:rFonts w:cs="Arial"/>
          <w:sz w:val="20"/>
          <w:szCs w:val="20"/>
        </w:rPr>
      </w:pPr>
    </w:p>
    <w:p w14:paraId="7DFB283C" w14:textId="77777777" w:rsidR="00AA7419" w:rsidRPr="00C2502A" w:rsidRDefault="00AA7419" w:rsidP="00AA7419">
      <w:pPr>
        <w:tabs>
          <w:tab w:val="left" w:pos="567"/>
          <w:tab w:val="left" w:pos="1134"/>
          <w:tab w:val="left" w:pos="1701"/>
        </w:tabs>
        <w:rPr>
          <w:rFonts w:cs="Arial"/>
          <w:b/>
          <w:sz w:val="20"/>
          <w:szCs w:val="20"/>
        </w:rPr>
      </w:pPr>
      <w:proofErr w:type="gramStart"/>
      <w:r w:rsidRPr="00C2502A">
        <w:rPr>
          <w:rFonts w:cs="Arial"/>
          <w:b/>
          <w:sz w:val="20"/>
          <w:szCs w:val="20"/>
          <w:lang w:eastAsia="zh-CN"/>
        </w:rPr>
        <w:t>small</w:t>
      </w:r>
      <w:proofErr w:type="gramEnd"/>
      <w:r w:rsidRPr="00C2502A">
        <w:rPr>
          <w:rFonts w:cs="Arial"/>
          <w:b/>
          <w:sz w:val="20"/>
          <w:szCs w:val="20"/>
          <w:lang w:eastAsia="zh-CN"/>
        </w:rPr>
        <w:t xml:space="preserve"> business</w:t>
      </w:r>
      <w:r w:rsidRPr="00C2502A">
        <w:rPr>
          <w:rFonts w:cs="Arial"/>
          <w:sz w:val="20"/>
          <w:szCs w:val="20"/>
          <w:lang w:eastAsia="zh-CN"/>
        </w:rPr>
        <w:t xml:space="preserve"> means a business or employer that employs less than 20 people as per the definition used by the Australian Bureau of Statistics.</w:t>
      </w:r>
    </w:p>
    <w:p w14:paraId="2743888C" w14:textId="77777777" w:rsidR="00AA7419" w:rsidRPr="00C2502A" w:rsidRDefault="00AA7419" w:rsidP="00AA7419">
      <w:pPr>
        <w:tabs>
          <w:tab w:val="left" w:pos="567"/>
          <w:tab w:val="left" w:pos="1134"/>
          <w:tab w:val="left" w:pos="1701"/>
        </w:tabs>
        <w:rPr>
          <w:rFonts w:cs="Arial"/>
          <w:b/>
          <w:sz w:val="20"/>
          <w:szCs w:val="20"/>
        </w:rPr>
      </w:pPr>
    </w:p>
    <w:p w14:paraId="64DA3B59" w14:textId="77777777" w:rsidR="00AA7419" w:rsidRPr="00C2502A" w:rsidRDefault="00AA7419" w:rsidP="00AA7419">
      <w:pPr>
        <w:autoSpaceDE w:val="0"/>
        <w:autoSpaceDN w:val="0"/>
        <w:adjustRightInd w:val="0"/>
        <w:rPr>
          <w:rFonts w:cs="Arial"/>
          <w:b/>
          <w:sz w:val="20"/>
          <w:szCs w:val="20"/>
        </w:rPr>
      </w:pPr>
      <w:r w:rsidRPr="00C2502A">
        <w:rPr>
          <w:rFonts w:cs="Arial"/>
          <w:b/>
          <w:sz w:val="20"/>
          <w:szCs w:val="20"/>
        </w:rPr>
        <w:t xml:space="preserve">Standards for Registered Training Organisations (2015) </w:t>
      </w:r>
      <w:r w:rsidRPr="00C2502A">
        <w:rPr>
          <w:rFonts w:cs="Arial"/>
          <w:sz w:val="20"/>
          <w:szCs w:val="20"/>
        </w:rPr>
        <w:t>mean</w:t>
      </w:r>
      <w:r w:rsidRPr="00C2502A">
        <w:rPr>
          <w:rFonts w:cs="Arial"/>
          <w:color w:val="000000" w:themeColor="text1"/>
          <w:sz w:val="20"/>
          <w:szCs w:val="20"/>
        </w:rPr>
        <w:t xml:space="preserve"> the conditions that National VET Regulator RTOs must comply with as regulated by ASQA. The purpose of the Standards is to </w:t>
      </w:r>
      <w:r w:rsidRPr="00C2502A">
        <w:rPr>
          <w:rFonts w:cs="Arial"/>
          <w:color w:val="000000" w:themeColor="text1"/>
          <w:sz w:val="20"/>
          <w:szCs w:val="20"/>
        </w:rPr>
        <w:br/>
        <w:t xml:space="preserve">(a) set out the requirements that an organisation must meet in order to be an RTO; (b) ensure training products delivered by RTOs meet the requirements of training packages or VET accredited courses, and have integrity for employment and further study; and (c) ensure RTOs operate ethically with due consideration of the needs of </w:t>
      </w:r>
      <w:r w:rsidRPr="00C2502A">
        <w:rPr>
          <w:rFonts w:cs="Arial"/>
          <w:iCs/>
          <w:color w:val="000000" w:themeColor="text1"/>
          <w:sz w:val="20"/>
          <w:szCs w:val="20"/>
        </w:rPr>
        <w:t xml:space="preserve">learners </w:t>
      </w:r>
      <w:r w:rsidRPr="00C2502A">
        <w:rPr>
          <w:rFonts w:cs="Arial"/>
          <w:color w:val="000000" w:themeColor="text1"/>
          <w:sz w:val="20"/>
          <w:szCs w:val="20"/>
        </w:rPr>
        <w:t>and enterprises.</w:t>
      </w:r>
    </w:p>
    <w:p w14:paraId="2323B307"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2B97EA63" w14:textId="77777777" w:rsidR="00AA7419" w:rsidRPr="00C2502A" w:rsidRDefault="00AA7419" w:rsidP="00AA7419">
      <w:pPr>
        <w:tabs>
          <w:tab w:val="left" w:pos="567"/>
          <w:tab w:val="left" w:pos="1134"/>
          <w:tab w:val="left" w:pos="1701"/>
        </w:tabs>
        <w:rPr>
          <w:rFonts w:cs="Arial"/>
          <w:sz w:val="20"/>
          <w:szCs w:val="20"/>
        </w:rPr>
      </w:pPr>
      <w:proofErr w:type="gramStart"/>
      <w:r w:rsidRPr="00C2502A">
        <w:rPr>
          <w:rFonts w:cs="Arial"/>
          <w:b/>
          <w:bCs/>
          <w:sz w:val="20"/>
          <w:szCs w:val="20"/>
        </w:rPr>
        <w:t>student</w:t>
      </w:r>
      <w:proofErr w:type="gramEnd"/>
      <w:r w:rsidRPr="00C2502A">
        <w:rPr>
          <w:rFonts w:cs="Arial"/>
          <w:b/>
          <w:bCs/>
          <w:sz w:val="20"/>
          <w:szCs w:val="20"/>
        </w:rPr>
        <w:t xml:space="preserve"> </w:t>
      </w:r>
      <w:r w:rsidRPr="00C2502A">
        <w:rPr>
          <w:rFonts w:cs="Arial"/>
          <w:bCs/>
          <w:sz w:val="20"/>
          <w:szCs w:val="20"/>
        </w:rPr>
        <w:t>or</w:t>
      </w:r>
      <w:r w:rsidRPr="00C2502A">
        <w:rPr>
          <w:rFonts w:cs="Arial"/>
          <w:b/>
          <w:bCs/>
          <w:sz w:val="20"/>
          <w:szCs w:val="20"/>
        </w:rPr>
        <w:t xml:space="preserve"> learner </w:t>
      </w:r>
      <w:r w:rsidRPr="00C2502A">
        <w:rPr>
          <w:rFonts w:cs="Arial"/>
          <w:bCs/>
          <w:sz w:val="20"/>
          <w:szCs w:val="20"/>
        </w:rPr>
        <w:t xml:space="preserve">or </w:t>
      </w:r>
      <w:r w:rsidRPr="00C2502A">
        <w:rPr>
          <w:rFonts w:cs="Arial"/>
          <w:b/>
          <w:bCs/>
          <w:sz w:val="20"/>
          <w:szCs w:val="20"/>
        </w:rPr>
        <w:t xml:space="preserve">participant </w:t>
      </w:r>
      <w:r w:rsidRPr="00C2502A">
        <w:rPr>
          <w:rFonts w:cs="Arial"/>
          <w:bCs/>
          <w:sz w:val="20"/>
          <w:szCs w:val="20"/>
        </w:rPr>
        <w:t xml:space="preserve">means </w:t>
      </w:r>
      <w:r w:rsidRPr="00C2502A">
        <w:rPr>
          <w:rFonts w:cs="Arial"/>
          <w:sz w:val="20"/>
          <w:szCs w:val="20"/>
        </w:rPr>
        <w:t>an eligible individual who is enrolled with a PQS under the program and has commenced training.</w:t>
      </w:r>
    </w:p>
    <w:p w14:paraId="7E079F71" w14:textId="77777777" w:rsidR="00AA7419" w:rsidRPr="00C2502A" w:rsidRDefault="00AA7419" w:rsidP="00AA7419">
      <w:pPr>
        <w:tabs>
          <w:tab w:val="left" w:pos="567"/>
          <w:tab w:val="left" w:pos="1134"/>
          <w:tab w:val="left" w:pos="1701"/>
        </w:tabs>
        <w:rPr>
          <w:rFonts w:cs="Arial"/>
          <w:b/>
          <w:sz w:val="20"/>
          <w:szCs w:val="20"/>
        </w:rPr>
      </w:pPr>
    </w:p>
    <w:p w14:paraId="057CBD32" w14:textId="77777777" w:rsidR="00AA7419" w:rsidRPr="00C2502A" w:rsidRDefault="00AA7419" w:rsidP="00AA7419">
      <w:pPr>
        <w:tabs>
          <w:tab w:val="left" w:pos="567"/>
          <w:tab w:val="left" w:pos="1134"/>
          <w:tab w:val="left" w:pos="1701"/>
        </w:tabs>
        <w:rPr>
          <w:rFonts w:cs="Arial"/>
          <w:bCs/>
          <w:sz w:val="20"/>
          <w:szCs w:val="20"/>
        </w:rPr>
      </w:pPr>
      <w:r w:rsidRPr="00C2502A">
        <w:rPr>
          <w:rFonts w:cs="Arial"/>
          <w:b/>
          <w:bCs/>
          <w:i/>
          <w:sz w:val="20"/>
          <w:szCs w:val="20"/>
        </w:rPr>
        <w:t>Student Identifiers Act 2014</w:t>
      </w:r>
      <w:r w:rsidRPr="00C2502A">
        <w:rPr>
          <w:rFonts w:cs="Arial"/>
          <w:b/>
          <w:bCs/>
          <w:sz w:val="20"/>
          <w:szCs w:val="20"/>
        </w:rPr>
        <w:t xml:space="preserve"> </w:t>
      </w:r>
      <w:r w:rsidRPr="00C2502A">
        <w:rPr>
          <w:rFonts w:cs="Arial"/>
          <w:bCs/>
          <w:sz w:val="20"/>
          <w:szCs w:val="20"/>
        </w:rPr>
        <w:t xml:space="preserve">means an Act to provide for student identifiers and access to transcripts relating to vocational education and training, and for related purposes. </w:t>
      </w:r>
    </w:p>
    <w:p w14:paraId="1D72E67B" w14:textId="77777777" w:rsidR="00AA7419" w:rsidRPr="00C2502A" w:rsidRDefault="00AA7419" w:rsidP="00AA7419">
      <w:pPr>
        <w:tabs>
          <w:tab w:val="left" w:pos="567"/>
          <w:tab w:val="left" w:pos="1134"/>
          <w:tab w:val="left" w:pos="1701"/>
        </w:tabs>
        <w:rPr>
          <w:rFonts w:cs="Arial"/>
          <w:b/>
          <w:bCs/>
          <w:sz w:val="20"/>
          <w:szCs w:val="20"/>
        </w:rPr>
      </w:pPr>
    </w:p>
    <w:p w14:paraId="5C00C2D1" w14:textId="77777777" w:rsidR="00AA7419" w:rsidRPr="00C2502A" w:rsidRDefault="00AA7419" w:rsidP="00AA7419">
      <w:pPr>
        <w:tabs>
          <w:tab w:val="left" w:pos="567"/>
          <w:tab w:val="left" w:pos="1134"/>
          <w:tab w:val="left" w:pos="1701"/>
        </w:tabs>
        <w:rPr>
          <w:rFonts w:cs="Arial"/>
          <w:bCs/>
          <w:sz w:val="20"/>
          <w:szCs w:val="20"/>
        </w:rPr>
      </w:pPr>
      <w:proofErr w:type="gramStart"/>
      <w:r w:rsidRPr="00C2502A">
        <w:rPr>
          <w:rFonts w:cs="Arial"/>
          <w:b/>
          <w:bCs/>
          <w:sz w:val="20"/>
          <w:szCs w:val="20"/>
        </w:rPr>
        <w:t>third</w:t>
      </w:r>
      <w:proofErr w:type="gramEnd"/>
      <w:r w:rsidRPr="00C2502A">
        <w:rPr>
          <w:rFonts w:cs="Arial"/>
          <w:b/>
          <w:bCs/>
          <w:sz w:val="20"/>
          <w:szCs w:val="20"/>
        </w:rPr>
        <w:t xml:space="preserve"> party </w:t>
      </w:r>
      <w:r w:rsidRPr="00C2502A">
        <w:rPr>
          <w:rFonts w:cs="Arial"/>
          <w:bCs/>
          <w:sz w:val="20"/>
          <w:szCs w:val="20"/>
        </w:rPr>
        <w:t xml:space="preserve">means any entity, organisation or person that is not a part of the RTO entity awarded PQS status </w:t>
      </w:r>
      <w:r w:rsidRPr="00C2502A">
        <w:rPr>
          <w:rFonts w:eastAsiaTheme="minorEastAsia" w:cs="Arial" w:hint="eastAsia"/>
          <w:bCs/>
          <w:sz w:val="20"/>
          <w:szCs w:val="20"/>
          <w:lang w:eastAsia="zh-CN"/>
        </w:rPr>
        <w:t>(</w:t>
      </w:r>
      <w:r w:rsidRPr="00C2502A">
        <w:rPr>
          <w:rFonts w:cs="Arial"/>
          <w:bCs/>
          <w:sz w:val="20"/>
          <w:szCs w:val="20"/>
        </w:rPr>
        <w:t>i.e. not employed by the PQS, nor within its organisational structure such as a director</w:t>
      </w:r>
      <w:r w:rsidRPr="00C2502A">
        <w:rPr>
          <w:rFonts w:eastAsiaTheme="minorEastAsia" w:cs="Arial" w:hint="eastAsia"/>
          <w:bCs/>
          <w:sz w:val="20"/>
          <w:szCs w:val="20"/>
          <w:lang w:eastAsia="zh-CN"/>
        </w:rPr>
        <w:t>)</w:t>
      </w:r>
      <w:r w:rsidRPr="00C2502A">
        <w:rPr>
          <w:rFonts w:cs="Arial"/>
          <w:bCs/>
          <w:sz w:val="20"/>
          <w:szCs w:val="20"/>
        </w:rPr>
        <w:t>.  </w:t>
      </w:r>
      <w:r w:rsidRPr="00C2502A">
        <w:rPr>
          <w:rFonts w:cs="Arial"/>
          <w:bCs/>
          <w:sz w:val="20"/>
          <w:szCs w:val="20"/>
        </w:rPr>
        <w:br/>
        <w:t xml:space="preserve">A third party operates as a separate entity, either with or without a contract or agreement with the PQS. Without limitation, a third party is related to the PQS if: </w:t>
      </w:r>
    </w:p>
    <w:p w14:paraId="243EA65E" w14:textId="77777777" w:rsidR="00AA7419" w:rsidRPr="00C2502A" w:rsidRDefault="00AA7419" w:rsidP="00AA7419">
      <w:pPr>
        <w:pStyle w:val="ListParagraph0"/>
        <w:numPr>
          <w:ilvl w:val="0"/>
          <w:numId w:val="50"/>
        </w:numPr>
        <w:tabs>
          <w:tab w:val="left" w:pos="567"/>
          <w:tab w:val="left" w:pos="1134"/>
          <w:tab w:val="left" w:pos="1701"/>
        </w:tabs>
        <w:spacing w:before="0" w:after="0" w:line="240" w:lineRule="auto"/>
        <w:contextualSpacing/>
        <w:rPr>
          <w:rFonts w:cs="Arial"/>
          <w:bCs/>
          <w:sz w:val="20"/>
          <w:szCs w:val="20"/>
        </w:rPr>
      </w:pPr>
      <w:r w:rsidRPr="00C2502A">
        <w:rPr>
          <w:rFonts w:cs="Arial"/>
          <w:bCs/>
          <w:sz w:val="20"/>
          <w:szCs w:val="20"/>
        </w:rPr>
        <w:t>the third party is a Related Body Corporate of the PQS; or</w:t>
      </w:r>
    </w:p>
    <w:p w14:paraId="128120D8" w14:textId="77777777" w:rsidR="00AA7419" w:rsidRPr="00C2502A" w:rsidRDefault="00AA7419" w:rsidP="00AA7419">
      <w:pPr>
        <w:pStyle w:val="ListParagraph0"/>
        <w:numPr>
          <w:ilvl w:val="0"/>
          <w:numId w:val="50"/>
        </w:numPr>
        <w:tabs>
          <w:tab w:val="left" w:pos="567"/>
          <w:tab w:val="left" w:pos="1134"/>
          <w:tab w:val="left" w:pos="1701"/>
        </w:tabs>
        <w:spacing w:before="0" w:after="0" w:line="240" w:lineRule="auto"/>
        <w:contextualSpacing/>
        <w:rPr>
          <w:rFonts w:cs="Arial"/>
          <w:bCs/>
          <w:sz w:val="20"/>
          <w:szCs w:val="20"/>
        </w:rPr>
      </w:pPr>
      <w:proofErr w:type="gramStart"/>
      <w:r w:rsidRPr="00C2502A">
        <w:rPr>
          <w:rFonts w:cs="Arial"/>
          <w:bCs/>
          <w:sz w:val="20"/>
          <w:szCs w:val="20"/>
        </w:rPr>
        <w:t>there</w:t>
      </w:r>
      <w:proofErr w:type="gramEnd"/>
      <w:r w:rsidRPr="00C2502A">
        <w:rPr>
          <w:rFonts w:cs="Arial"/>
          <w:bCs/>
          <w:sz w:val="20"/>
          <w:szCs w:val="20"/>
        </w:rPr>
        <w:t xml:space="preserve"> is any commonality in the key personnel of the third party and the key personnel of the PQS.</w:t>
      </w:r>
    </w:p>
    <w:p w14:paraId="7ED5B6E3" w14:textId="77777777" w:rsidR="00AA7419" w:rsidRPr="00C2502A" w:rsidRDefault="00AA7419" w:rsidP="00AA7419">
      <w:pPr>
        <w:tabs>
          <w:tab w:val="left" w:pos="567"/>
          <w:tab w:val="left" w:pos="1134"/>
          <w:tab w:val="left" w:pos="1701"/>
        </w:tabs>
        <w:rPr>
          <w:rFonts w:cs="Arial"/>
          <w:b/>
          <w:bCs/>
          <w:sz w:val="20"/>
          <w:szCs w:val="20"/>
        </w:rPr>
      </w:pPr>
    </w:p>
    <w:p w14:paraId="67D61A0C" w14:textId="77777777" w:rsidR="00AA7419" w:rsidRPr="00C2502A" w:rsidRDefault="00AA7419" w:rsidP="00AA7419">
      <w:pPr>
        <w:autoSpaceDE w:val="0"/>
        <w:autoSpaceDN w:val="0"/>
        <w:adjustRightInd w:val="0"/>
        <w:rPr>
          <w:rFonts w:cs="Arial"/>
          <w:b/>
          <w:bCs/>
          <w:sz w:val="20"/>
          <w:szCs w:val="20"/>
        </w:rPr>
      </w:pPr>
      <w:proofErr w:type="gramStart"/>
      <w:r w:rsidRPr="00C2502A">
        <w:rPr>
          <w:rFonts w:cs="Arial"/>
          <w:b/>
          <w:bCs/>
          <w:sz w:val="20"/>
          <w:szCs w:val="20"/>
        </w:rPr>
        <w:t>training</w:t>
      </w:r>
      <w:proofErr w:type="gramEnd"/>
      <w:r w:rsidRPr="00C2502A">
        <w:rPr>
          <w:rFonts w:cs="Arial"/>
          <w:b/>
          <w:bCs/>
          <w:sz w:val="20"/>
          <w:szCs w:val="20"/>
        </w:rPr>
        <w:t xml:space="preserve"> package </w:t>
      </w:r>
      <w:r w:rsidRPr="00C2502A">
        <w:rPr>
          <w:rFonts w:cs="Arial"/>
          <w:bCs/>
          <w:sz w:val="20"/>
          <w:szCs w:val="20"/>
        </w:rPr>
        <w:t>means</w:t>
      </w:r>
      <w:r w:rsidRPr="00C2502A">
        <w:rPr>
          <w:rFonts w:cs="Arial"/>
          <w:color w:val="000000" w:themeColor="text1"/>
          <w:sz w:val="20"/>
          <w:szCs w:val="20"/>
          <w:lang w:eastAsia="en-US"/>
        </w:rPr>
        <w:t xml:space="preserve"> an integrated set of nationally endorsed standards, guidelines and qualifications for a specific industry, sector or workplace. Each training package provides consistent components for training and assessment/recognising skills.</w:t>
      </w:r>
    </w:p>
    <w:p w14:paraId="1BB23AAB"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1F8172B6" w14:textId="77777777" w:rsidR="00AA7419" w:rsidRPr="00C2502A" w:rsidRDefault="00AA7419" w:rsidP="00AA7419">
      <w:pPr>
        <w:rPr>
          <w:rFonts w:cs="Arial"/>
          <w:sz w:val="20"/>
          <w:szCs w:val="20"/>
        </w:rPr>
      </w:pPr>
      <w:r w:rsidRPr="00C2502A">
        <w:rPr>
          <w:rFonts w:cs="Arial"/>
          <w:b/>
          <w:bCs/>
          <w:sz w:val="20"/>
          <w:szCs w:val="20"/>
        </w:rPr>
        <w:t xml:space="preserve">Unique Student Identifier (USI) </w:t>
      </w:r>
      <w:r w:rsidRPr="00C2502A">
        <w:rPr>
          <w:rFonts w:cs="Arial"/>
          <w:bCs/>
          <w:sz w:val="20"/>
          <w:szCs w:val="20"/>
        </w:rPr>
        <w:t>means an account or reference number</w:t>
      </w:r>
      <w:r w:rsidRPr="00C2502A">
        <w:rPr>
          <w:rFonts w:cs="Arial"/>
          <w:b/>
          <w:bCs/>
          <w:sz w:val="20"/>
          <w:szCs w:val="20"/>
        </w:rPr>
        <w:t xml:space="preserve"> </w:t>
      </w:r>
      <w:r w:rsidRPr="00C2502A">
        <w:rPr>
          <w:rFonts w:cs="Arial"/>
          <w:sz w:val="20"/>
          <w:szCs w:val="20"/>
        </w:rPr>
        <w:t xml:space="preserve">issued by the USI Registrar </w:t>
      </w:r>
      <w:r w:rsidRPr="00C2502A">
        <w:rPr>
          <w:rFonts w:cs="Arial"/>
          <w:bCs/>
          <w:sz w:val="20"/>
          <w:szCs w:val="20"/>
        </w:rPr>
        <w:t>that</w:t>
      </w:r>
      <w:r w:rsidRPr="00C2502A">
        <w:rPr>
          <w:rFonts w:cs="Arial"/>
          <w:b/>
          <w:bCs/>
          <w:sz w:val="20"/>
          <w:szCs w:val="20"/>
        </w:rPr>
        <w:t xml:space="preserve"> </w:t>
      </w:r>
      <w:r w:rsidRPr="00C2502A">
        <w:rPr>
          <w:rFonts w:cs="Arial"/>
          <w:sz w:val="20"/>
          <w:szCs w:val="20"/>
        </w:rPr>
        <w:t xml:space="preserve">uniquely identifies an individual undertaking nationally recognised training over </w:t>
      </w:r>
      <w:r w:rsidRPr="00C2502A">
        <w:rPr>
          <w:rFonts w:eastAsiaTheme="minorEastAsia" w:cs="Arial" w:hint="eastAsia"/>
          <w:sz w:val="20"/>
          <w:szCs w:val="20"/>
          <w:lang w:eastAsia="zh-CN"/>
        </w:rPr>
        <w:t xml:space="preserve">their </w:t>
      </w:r>
      <w:r w:rsidRPr="00C2502A">
        <w:rPr>
          <w:rFonts w:cs="Arial"/>
          <w:sz w:val="20"/>
          <w:szCs w:val="20"/>
        </w:rPr>
        <w:t xml:space="preserve">lifetime. </w:t>
      </w:r>
      <w:r w:rsidRPr="00C2502A">
        <w:rPr>
          <w:rFonts w:cs="Arial"/>
          <w:sz w:val="20"/>
          <w:szCs w:val="20"/>
        </w:rPr>
        <w:br/>
        <w:t>The USI allows collation of an individual’s educational attainments for analysis and research purposes while protecting individual privacy.</w:t>
      </w:r>
    </w:p>
    <w:p w14:paraId="441A799F"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46B8A9DE"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roofErr w:type="gramStart"/>
      <w:r w:rsidRPr="00C2502A">
        <w:rPr>
          <w:rFonts w:cs="Arial"/>
          <w:b/>
          <w:bCs/>
          <w:sz w:val="20"/>
          <w:szCs w:val="20"/>
        </w:rPr>
        <w:t>units</w:t>
      </w:r>
      <w:proofErr w:type="gramEnd"/>
      <w:r w:rsidRPr="00C2502A">
        <w:rPr>
          <w:rFonts w:cs="Arial"/>
          <w:b/>
          <w:bCs/>
          <w:sz w:val="20"/>
          <w:szCs w:val="20"/>
        </w:rPr>
        <w:t xml:space="preserve"> of competency </w:t>
      </w:r>
      <w:r w:rsidRPr="00C2502A">
        <w:rPr>
          <w:rFonts w:cs="Arial"/>
          <w:bCs/>
          <w:sz w:val="20"/>
          <w:szCs w:val="20"/>
        </w:rPr>
        <w:t xml:space="preserve">mean </w:t>
      </w:r>
      <w:r w:rsidRPr="00C2502A">
        <w:rPr>
          <w:rFonts w:cs="Arial"/>
          <w:sz w:val="20"/>
          <w:szCs w:val="20"/>
        </w:rPr>
        <w:t>the specification of industry knowledge and skill, and the application of that knowledge and skill to the standard of performance expected in the workplace and — where applicable for the course or qualification</w:t>
      </w:r>
      <w:r w:rsidRPr="00C2502A">
        <w:rPr>
          <w:rFonts w:eastAsiaTheme="minorEastAsia" w:cs="Arial" w:hint="eastAsia"/>
          <w:sz w:val="20"/>
          <w:szCs w:val="20"/>
          <w:lang w:eastAsia="zh-CN"/>
        </w:rPr>
        <w:t xml:space="preserve"> </w:t>
      </w:r>
      <w:r w:rsidRPr="00C2502A">
        <w:rPr>
          <w:rFonts w:eastAsiaTheme="minorEastAsia" w:cs="Arial"/>
          <w:sz w:val="20"/>
          <w:szCs w:val="20"/>
          <w:lang w:eastAsia="zh-CN"/>
        </w:rPr>
        <w:t>—</w:t>
      </w:r>
      <w:r w:rsidRPr="00C2502A">
        <w:rPr>
          <w:rFonts w:cs="Arial"/>
          <w:sz w:val="20"/>
          <w:szCs w:val="20"/>
        </w:rPr>
        <w:t xml:space="preserve"> may refer instead to points or modules. </w:t>
      </w:r>
    </w:p>
    <w:p w14:paraId="35599313"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486C092F"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r w:rsidRPr="00C2502A">
        <w:rPr>
          <w:rFonts w:cs="Arial"/>
          <w:b/>
          <w:bCs/>
          <w:sz w:val="20"/>
          <w:szCs w:val="20"/>
        </w:rPr>
        <w:lastRenderedPageBreak/>
        <w:t xml:space="preserve">VET </w:t>
      </w:r>
      <w:r w:rsidRPr="00C2502A">
        <w:rPr>
          <w:rFonts w:cs="Arial"/>
          <w:bCs/>
          <w:sz w:val="20"/>
          <w:szCs w:val="20"/>
        </w:rPr>
        <w:t>means vocational education and training.</w:t>
      </w:r>
    </w:p>
    <w:p w14:paraId="73A91C46"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39AE9F38" w14:textId="77777777" w:rsidR="00AA7419" w:rsidRPr="00C2502A" w:rsidRDefault="00AA7419" w:rsidP="00AA7419">
      <w:pPr>
        <w:tabs>
          <w:tab w:val="left" w:pos="567"/>
          <w:tab w:val="left" w:pos="1134"/>
          <w:tab w:val="left" w:pos="1701"/>
        </w:tabs>
        <w:rPr>
          <w:rFonts w:cs="Arial"/>
          <w:sz w:val="20"/>
          <w:szCs w:val="20"/>
        </w:rPr>
      </w:pPr>
      <w:r w:rsidRPr="00C2502A">
        <w:rPr>
          <w:rFonts w:cs="Arial"/>
          <w:b/>
          <w:bCs/>
          <w:sz w:val="20"/>
          <w:szCs w:val="20"/>
        </w:rPr>
        <w:t>VET accredited course</w:t>
      </w:r>
      <w:r w:rsidRPr="00C2502A">
        <w:rPr>
          <w:rFonts w:cs="Arial"/>
          <w:bCs/>
          <w:sz w:val="20"/>
          <w:szCs w:val="20"/>
        </w:rPr>
        <w:t xml:space="preserve"> means (a) if the National VET Regulator has delegated to a body the function of accrediting a course, a course accredited by the body under the delegation; or (b) in any other case, a course accredited by the National VET Regulator. C</w:t>
      </w:r>
      <w:r w:rsidRPr="00C2502A">
        <w:rPr>
          <w:rFonts w:cs="Arial"/>
          <w:sz w:val="20"/>
          <w:szCs w:val="20"/>
        </w:rPr>
        <w:t>ourses subsidised under this PQS Policy are published on the Priority Skills List on the department’s website.</w:t>
      </w:r>
    </w:p>
    <w:p w14:paraId="7B1EEF7F"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6CD6D844" w14:textId="77777777" w:rsidR="00AA7419" w:rsidRPr="00C2502A" w:rsidRDefault="00AA7419" w:rsidP="00AA7419">
      <w:pPr>
        <w:tabs>
          <w:tab w:val="left" w:pos="567"/>
          <w:tab w:val="left" w:pos="1134"/>
          <w:tab w:val="left" w:pos="1701"/>
        </w:tabs>
        <w:rPr>
          <w:rFonts w:cs="Arial"/>
          <w:sz w:val="20"/>
          <w:szCs w:val="20"/>
        </w:rPr>
      </w:pPr>
      <w:r w:rsidRPr="00C2502A">
        <w:rPr>
          <w:rFonts w:cs="Arial"/>
          <w:b/>
          <w:bCs/>
          <w:sz w:val="20"/>
          <w:szCs w:val="20"/>
        </w:rPr>
        <w:t xml:space="preserve">VET qualification </w:t>
      </w:r>
      <w:r w:rsidRPr="00C2502A">
        <w:rPr>
          <w:rFonts w:cs="Arial"/>
          <w:bCs/>
          <w:sz w:val="20"/>
          <w:szCs w:val="20"/>
        </w:rPr>
        <w:t>means</w:t>
      </w:r>
      <w:r w:rsidRPr="00C2502A">
        <w:rPr>
          <w:rFonts w:cs="Arial"/>
          <w:b/>
          <w:bCs/>
          <w:sz w:val="20"/>
          <w:szCs w:val="20"/>
        </w:rPr>
        <w:t xml:space="preserve"> </w:t>
      </w:r>
      <w:r w:rsidRPr="00C2502A">
        <w:rPr>
          <w:rFonts w:cs="Arial"/>
          <w:sz w:val="20"/>
          <w:szCs w:val="20"/>
        </w:rPr>
        <w:t>a testamur, relating to a VET course, given to a person confirming that the person has achieved learning outcomes and competencies that satisfy the requirements of a qualification</w:t>
      </w:r>
      <w:r w:rsidRPr="00C2502A">
        <w:rPr>
          <w:rFonts w:cs="Arial"/>
          <w:bCs/>
          <w:sz w:val="20"/>
          <w:szCs w:val="20"/>
        </w:rPr>
        <w:t>. Q</w:t>
      </w:r>
      <w:r w:rsidRPr="00C2502A">
        <w:rPr>
          <w:rFonts w:cs="Arial"/>
          <w:sz w:val="20"/>
          <w:szCs w:val="20"/>
        </w:rPr>
        <w:t>ualifications subsidised under this PQS Policy are published on the Priority Skills List on the department’s website.</w:t>
      </w:r>
    </w:p>
    <w:p w14:paraId="09338FBC"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1A1DC97C" w14:textId="77777777" w:rsidR="00AA7419" w:rsidRPr="00C2502A" w:rsidRDefault="00AA7419" w:rsidP="00AA7419">
      <w:pPr>
        <w:tabs>
          <w:tab w:val="left" w:pos="567"/>
          <w:tab w:val="left" w:pos="1134"/>
          <w:tab w:val="left" w:pos="1701"/>
        </w:tabs>
        <w:autoSpaceDE w:val="0"/>
        <w:autoSpaceDN w:val="0"/>
        <w:adjustRightInd w:val="0"/>
        <w:rPr>
          <w:rFonts w:cs="Arial"/>
          <w:sz w:val="20"/>
          <w:szCs w:val="20"/>
        </w:rPr>
      </w:pPr>
      <w:r w:rsidRPr="00C2502A">
        <w:rPr>
          <w:rFonts w:cs="Arial"/>
          <w:b/>
          <w:bCs/>
          <w:sz w:val="20"/>
          <w:szCs w:val="20"/>
        </w:rPr>
        <w:t xml:space="preserve">VET Quality Framework </w:t>
      </w:r>
      <w:r w:rsidRPr="00C2502A">
        <w:rPr>
          <w:rFonts w:cs="Arial"/>
          <w:bCs/>
          <w:sz w:val="20"/>
          <w:szCs w:val="20"/>
        </w:rPr>
        <w:t xml:space="preserve">means </w:t>
      </w:r>
      <w:r w:rsidRPr="00C2502A">
        <w:rPr>
          <w:rFonts w:cs="Arial"/>
          <w:sz w:val="20"/>
          <w:szCs w:val="20"/>
        </w:rPr>
        <w:t xml:space="preserve">the set of standards and conditions that ASQA uses to assess whether an RTO meets the requirements for registration and comprises the following: (a) </w:t>
      </w:r>
      <w:r w:rsidRPr="00C2502A">
        <w:rPr>
          <w:rFonts w:cs="Arial"/>
          <w:i/>
          <w:sz w:val="20"/>
          <w:szCs w:val="20"/>
        </w:rPr>
        <w:t>Standards for Registered Training Organisations (RTOs) 2015;</w:t>
      </w:r>
      <w:r w:rsidRPr="00C2502A">
        <w:rPr>
          <w:rFonts w:cs="Arial"/>
          <w:sz w:val="20"/>
          <w:szCs w:val="20"/>
        </w:rPr>
        <w:t xml:space="preserve"> (b) AQF; (c) Fit and Proper Person requirements; (d) Financial Viability Risk Assessment requirements</w:t>
      </w:r>
      <w:r w:rsidRPr="00C2502A">
        <w:rPr>
          <w:rFonts w:eastAsiaTheme="minorEastAsia" w:cs="Arial" w:hint="eastAsia"/>
          <w:sz w:val="20"/>
          <w:szCs w:val="20"/>
          <w:lang w:eastAsia="zh-CN"/>
        </w:rPr>
        <w:t>;</w:t>
      </w:r>
      <w:r w:rsidRPr="00C2502A">
        <w:rPr>
          <w:rFonts w:cs="Arial"/>
          <w:sz w:val="20"/>
          <w:szCs w:val="20"/>
        </w:rPr>
        <w:t xml:space="preserve"> (e) Data Provision requirements.</w:t>
      </w:r>
    </w:p>
    <w:p w14:paraId="03C757A4"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p>
    <w:p w14:paraId="1179EDE5"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r w:rsidRPr="00C2502A">
        <w:rPr>
          <w:rFonts w:cs="Arial"/>
          <w:b/>
          <w:bCs/>
          <w:sz w:val="20"/>
          <w:szCs w:val="20"/>
        </w:rPr>
        <w:t xml:space="preserve">VET regulator </w:t>
      </w:r>
      <w:r w:rsidRPr="00C2502A">
        <w:rPr>
          <w:rFonts w:cs="Arial"/>
          <w:bCs/>
          <w:sz w:val="20"/>
          <w:szCs w:val="20"/>
        </w:rPr>
        <w:t>means (a) the National VET Regulator; and (b) a body of a non</w:t>
      </w:r>
      <w:r w:rsidRPr="00C2502A">
        <w:rPr>
          <w:rFonts w:cs="Arial"/>
          <w:bCs/>
          <w:sz w:val="20"/>
          <w:szCs w:val="20"/>
        </w:rPr>
        <w:noBreakHyphen/>
        <w:t>referring State that is responsible for the kinds of matters dealt with by the Act.</w:t>
      </w:r>
    </w:p>
    <w:p w14:paraId="0DA83054"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0852BA98" w14:textId="77777777" w:rsidR="00AA7419" w:rsidRPr="00C2502A" w:rsidRDefault="00AA7419" w:rsidP="00AA7419">
      <w:pPr>
        <w:tabs>
          <w:tab w:val="left" w:pos="567"/>
          <w:tab w:val="left" w:pos="1134"/>
          <w:tab w:val="left" w:pos="1701"/>
        </w:tabs>
        <w:autoSpaceDE w:val="0"/>
        <w:autoSpaceDN w:val="0"/>
        <w:adjustRightInd w:val="0"/>
        <w:rPr>
          <w:rFonts w:cs="Arial"/>
          <w:bCs/>
          <w:sz w:val="20"/>
          <w:szCs w:val="20"/>
        </w:rPr>
      </w:pPr>
      <w:r w:rsidRPr="00C2502A">
        <w:rPr>
          <w:rFonts w:cs="Arial"/>
          <w:b/>
          <w:bCs/>
          <w:sz w:val="20"/>
          <w:szCs w:val="20"/>
        </w:rPr>
        <w:t xml:space="preserve">VET statement of attainment </w:t>
      </w:r>
      <w:r w:rsidRPr="00C2502A">
        <w:rPr>
          <w:rFonts w:cs="Arial"/>
          <w:bCs/>
          <w:sz w:val="20"/>
          <w:szCs w:val="20"/>
        </w:rPr>
        <w:t>means, in relation to units of competency or modules of a VET course, a statement given to a person confirming that the person has satisfied the requirements of the units of competency or modules specified in the statement.</w:t>
      </w:r>
    </w:p>
    <w:p w14:paraId="68CD15E9" w14:textId="77777777" w:rsidR="00AA7419" w:rsidRPr="00C2502A" w:rsidRDefault="00AA7419" w:rsidP="00AA7419">
      <w:pPr>
        <w:tabs>
          <w:tab w:val="left" w:pos="567"/>
          <w:tab w:val="left" w:pos="1134"/>
          <w:tab w:val="left" w:pos="1701"/>
        </w:tabs>
        <w:autoSpaceDE w:val="0"/>
        <w:autoSpaceDN w:val="0"/>
        <w:adjustRightInd w:val="0"/>
        <w:rPr>
          <w:rFonts w:cs="Arial"/>
          <w:b/>
          <w:bCs/>
          <w:sz w:val="20"/>
          <w:szCs w:val="20"/>
        </w:rPr>
      </w:pPr>
    </w:p>
    <w:p w14:paraId="1ECE6A6E" w14:textId="77777777" w:rsidR="00AA7419" w:rsidRPr="00C2502A" w:rsidRDefault="00AA7419" w:rsidP="00AA7419">
      <w:pPr>
        <w:tabs>
          <w:tab w:val="left" w:pos="567"/>
          <w:tab w:val="left" w:pos="1134"/>
          <w:tab w:val="left" w:pos="1701"/>
        </w:tabs>
        <w:spacing w:after="180"/>
        <w:rPr>
          <w:rFonts w:cs="Arial"/>
          <w:sz w:val="20"/>
          <w:szCs w:val="20"/>
        </w:rPr>
      </w:pPr>
      <w:r w:rsidRPr="00C2502A">
        <w:rPr>
          <w:rFonts w:cs="Arial"/>
          <w:b/>
          <w:bCs/>
          <w:sz w:val="20"/>
          <w:szCs w:val="20"/>
        </w:rPr>
        <w:t xml:space="preserve">Year 12 graduate </w:t>
      </w:r>
      <w:r w:rsidRPr="00C2502A">
        <w:rPr>
          <w:rFonts w:cs="Arial"/>
          <w:sz w:val="20"/>
          <w:szCs w:val="20"/>
        </w:rPr>
        <w:t xml:space="preserve">means the individual has completed </w:t>
      </w:r>
      <w:bookmarkStart w:id="6" w:name="_GoBack"/>
      <w:bookmarkEnd w:id="6"/>
      <w:r w:rsidRPr="00C2502A">
        <w:rPr>
          <w:rFonts w:cs="Arial"/>
          <w:sz w:val="20"/>
          <w:szCs w:val="20"/>
        </w:rPr>
        <w:t xml:space="preserve">Year 12 in Queensland and holds a senior statement issued by the </w:t>
      </w:r>
      <w:r w:rsidRPr="00C2502A">
        <w:rPr>
          <w:rStyle w:val="Strong"/>
          <w:rFonts w:cs="Arial"/>
          <w:sz w:val="20"/>
          <w:szCs w:val="20"/>
          <w:lang w:val="en"/>
        </w:rPr>
        <w:t>Queensland</w:t>
      </w:r>
      <w:r w:rsidRPr="00C2502A">
        <w:rPr>
          <w:rFonts w:cs="Arial"/>
          <w:b/>
          <w:sz w:val="20"/>
          <w:szCs w:val="20"/>
          <w:lang w:val="en"/>
        </w:rPr>
        <w:t xml:space="preserve"> </w:t>
      </w:r>
      <w:r w:rsidRPr="00C2502A">
        <w:rPr>
          <w:rFonts w:cs="Arial"/>
          <w:sz w:val="20"/>
          <w:szCs w:val="20"/>
          <w:lang w:val="en"/>
        </w:rPr>
        <w:t xml:space="preserve">Curriculum and Assessment </w:t>
      </w:r>
      <w:r w:rsidRPr="00C2502A">
        <w:rPr>
          <w:rStyle w:val="Strong"/>
          <w:rFonts w:cs="Arial"/>
          <w:sz w:val="20"/>
          <w:szCs w:val="20"/>
          <w:lang w:val="en"/>
        </w:rPr>
        <w:t>Authority (QCAA)</w:t>
      </w:r>
      <w:r w:rsidRPr="00C2502A">
        <w:rPr>
          <w:rFonts w:cs="Arial"/>
          <w:sz w:val="20"/>
          <w:szCs w:val="20"/>
        </w:rPr>
        <w:t xml:space="preserve"> or equivalent certification.</w:t>
      </w:r>
    </w:p>
    <w:p w14:paraId="252E4E99" w14:textId="77777777" w:rsidR="00506092" w:rsidRPr="005362B6" w:rsidRDefault="00506092" w:rsidP="00506092">
      <w:pPr>
        <w:rPr>
          <w:rFonts w:cs="Arial"/>
          <w:b/>
          <w:sz w:val="28"/>
          <w:szCs w:val="28"/>
        </w:rPr>
      </w:pPr>
    </w:p>
    <w:p w14:paraId="0EE364D2" w14:textId="77777777" w:rsidR="00433DAA" w:rsidRPr="00905815" w:rsidRDefault="00433DAA" w:rsidP="00786831">
      <w:pPr>
        <w:pStyle w:val="Heading1"/>
        <w:tabs>
          <w:tab w:val="num" w:pos="574"/>
        </w:tabs>
        <w:spacing w:before="120" w:after="120" w:line="240" w:lineRule="atLeast"/>
        <w:ind w:left="431" w:hanging="431"/>
        <w:rPr>
          <w:rFonts w:cs="Arial"/>
        </w:rPr>
      </w:pPr>
    </w:p>
    <w:sectPr w:rsidR="00433DAA" w:rsidRPr="00905815" w:rsidSect="00344D9A">
      <w:headerReference w:type="even" r:id="rId22"/>
      <w:headerReference w:type="default" r:id="rId23"/>
      <w:footerReference w:type="even" r:id="rId24"/>
      <w:footerReference w:type="default" r:id="rId25"/>
      <w:headerReference w:type="first" r:id="rId26"/>
      <w:footerReference w:type="first" r:id="rId27"/>
      <w:type w:val="continuous"/>
      <w:pgSz w:w="11907" w:h="16840" w:code="9"/>
      <w:pgMar w:top="1440" w:right="1417" w:bottom="1135" w:left="1418" w:header="567" w:footer="424" w:gutter="0"/>
      <w:cols w:space="567"/>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4429A" w14:textId="77777777" w:rsidR="00D80A91" w:rsidRDefault="00D80A91">
      <w:r>
        <w:separator/>
      </w:r>
    </w:p>
  </w:endnote>
  <w:endnote w:type="continuationSeparator" w:id="0">
    <w:p w14:paraId="4A46CE21" w14:textId="77777777" w:rsidR="00D80A91" w:rsidRDefault="00D8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eta Medium LF">
    <w:altName w:val="Cambria"/>
    <w:panose1 w:val="00000000000000000000"/>
    <w:charset w:val="00"/>
    <w:family w:val="roman"/>
    <w:notTrueType/>
    <w:pitch w:val="default"/>
    <w:sig w:usb0="00000003" w:usb1="00000000" w:usb2="00000000" w:usb3="00000000" w:csb0="00000001" w:csb1="00000000"/>
  </w:font>
  <w:font w:name="Meta Normal LF">
    <w:altName w:val="Meta Normal LF"/>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A2A54" w14:textId="77777777" w:rsidR="009B3AD9" w:rsidRDefault="009B3A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C7A92" w14:textId="77777777" w:rsidR="00213067" w:rsidRPr="00165F81" w:rsidRDefault="00213067" w:rsidP="005C4352">
    <w:pPr>
      <w:pStyle w:val="Footer"/>
      <w:rPr>
        <w:color w:val="ABC494" w:themeColor="accent2"/>
      </w:rPr>
    </w:pPr>
  </w:p>
  <w:tbl>
    <w:tblPr>
      <w:tblStyle w:val="TableGrid"/>
      <w:tblW w:w="4983" w:type="pct"/>
      <w:tblLook w:val="01E0" w:firstRow="1" w:lastRow="1" w:firstColumn="1" w:lastColumn="1" w:noHBand="0" w:noVBand="0"/>
    </w:tblPr>
    <w:tblGrid>
      <w:gridCol w:w="7898"/>
      <w:gridCol w:w="1143"/>
    </w:tblGrid>
    <w:tr w:rsidR="00136929" w:rsidRPr="00136929" w14:paraId="1C0FF89C" w14:textId="77777777" w:rsidTr="000F1B1D">
      <w:tc>
        <w:tcPr>
          <w:tcW w:w="7859" w:type="dxa"/>
          <w:vAlign w:val="bottom"/>
        </w:tcPr>
        <w:p w14:paraId="4FC701DD" w14:textId="0C68ABD8" w:rsidR="00213067" w:rsidRPr="00136929" w:rsidRDefault="00213067" w:rsidP="005C4352">
          <w:pPr>
            <w:pStyle w:val="Footer"/>
            <w:rPr>
              <w:color w:val="auto"/>
            </w:rPr>
          </w:pPr>
          <w:r w:rsidRPr="00136929">
            <w:rPr>
              <w:color w:val="auto"/>
            </w:rPr>
            <w:t xml:space="preserve">RTO </w:t>
          </w:r>
          <w:r w:rsidRPr="00136929">
            <w:rPr>
              <w:color w:val="auto"/>
            </w:rPr>
            <w:fldChar w:fldCharType="begin"/>
          </w:r>
          <w:r w:rsidRPr="00136929">
            <w:rPr>
              <w:color w:val="auto"/>
            </w:rPr>
            <w:instrText xml:space="preserve"> STYLEREF  Title  \* MERGEFORMAT </w:instrText>
          </w:r>
          <w:r w:rsidR="009B3AD9">
            <w:rPr>
              <w:color w:val="auto"/>
            </w:rPr>
            <w:fldChar w:fldCharType="separate"/>
          </w:r>
          <w:r w:rsidR="009B3AD9">
            <w:rPr>
              <w:noProof/>
              <w:color w:val="auto"/>
            </w:rPr>
            <w:t>Pre-qualified Supplier Policy 2019–20 for Queensland VET Investment Programs</w:t>
          </w:r>
          <w:r w:rsidRPr="00136929">
            <w:rPr>
              <w:noProof/>
              <w:color w:val="auto"/>
            </w:rPr>
            <w:fldChar w:fldCharType="end"/>
          </w:r>
        </w:p>
      </w:tc>
      <w:tc>
        <w:tcPr>
          <w:tcW w:w="1137" w:type="dxa"/>
          <w:vAlign w:val="bottom"/>
        </w:tcPr>
        <w:p w14:paraId="209F586C" w14:textId="47664459" w:rsidR="00213067" w:rsidRPr="00136929" w:rsidRDefault="00213067" w:rsidP="00370F35">
          <w:pPr>
            <w:pStyle w:val="Footer"/>
            <w:jc w:val="right"/>
            <w:rPr>
              <w:color w:val="auto"/>
            </w:rPr>
          </w:pPr>
          <w:r w:rsidRPr="00136929">
            <w:rPr>
              <w:color w:val="auto"/>
            </w:rPr>
            <w:t xml:space="preserve">- </w:t>
          </w:r>
          <w:r w:rsidRPr="00136929">
            <w:rPr>
              <w:color w:val="auto"/>
            </w:rPr>
            <w:fldChar w:fldCharType="begin"/>
          </w:r>
          <w:r w:rsidRPr="00136929">
            <w:rPr>
              <w:color w:val="auto"/>
            </w:rPr>
            <w:instrText xml:space="preserve"> PAGE </w:instrText>
          </w:r>
          <w:r w:rsidRPr="00136929">
            <w:rPr>
              <w:color w:val="auto"/>
            </w:rPr>
            <w:fldChar w:fldCharType="separate"/>
          </w:r>
          <w:r w:rsidR="009B3AD9">
            <w:rPr>
              <w:noProof/>
              <w:color w:val="auto"/>
            </w:rPr>
            <w:t>20</w:t>
          </w:r>
          <w:r w:rsidRPr="00136929">
            <w:rPr>
              <w:color w:val="auto"/>
            </w:rPr>
            <w:fldChar w:fldCharType="end"/>
          </w:r>
          <w:r w:rsidRPr="00136929">
            <w:rPr>
              <w:color w:val="auto"/>
            </w:rPr>
            <w:t xml:space="preserve"> -</w:t>
          </w:r>
        </w:p>
      </w:tc>
    </w:tr>
  </w:tbl>
  <w:p w14:paraId="2BC13631" w14:textId="77777777" w:rsidR="00213067" w:rsidRPr="005C4352" w:rsidRDefault="00213067">
    <w:pPr>
      <w:pStyle w:val="Footer"/>
      <w:rPr>
        <w:sz w:val="2"/>
        <w:szCs w:val="2"/>
      </w:rPr>
    </w:pPr>
    <w:r w:rsidRPr="00165F81">
      <w:rPr>
        <w:noProof/>
        <w:sz w:val="4"/>
        <w:lang w:eastAsia="zh-TW"/>
      </w:rPr>
      <mc:AlternateContent>
        <mc:Choice Requires="wps">
          <w:drawing>
            <wp:anchor distT="0" distB="0" distL="114300" distR="114300" simplePos="0" relativeHeight="251659776" behindDoc="0" locked="0" layoutInCell="1" allowOverlap="1" wp14:anchorId="5A2DBA8A" wp14:editId="275A1B9F">
              <wp:simplePos x="0" y="0"/>
              <wp:positionH relativeFrom="column">
                <wp:posOffset>-913765</wp:posOffset>
              </wp:positionH>
              <wp:positionV relativeFrom="paragraph">
                <wp:posOffset>51067</wp:posOffset>
              </wp:positionV>
              <wp:extent cx="1073150" cy="328295"/>
              <wp:effectExtent l="0" t="0" r="0" b="0"/>
              <wp:wrapNone/>
              <wp:docPr id="42" name="Rectangle 42"/>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2" o:spid="_x0000_s2055" style="width:84.5pt;height:25.85pt;margin-top:4pt;margin-left:-71.95pt;mso-wrap-distance-bottom:0;mso-wrap-distance-left:9pt;mso-wrap-distance-right:9pt;mso-wrap-distance-top:0;mso-wrap-style:square;position:absolute;visibility:visible;v-text-anchor:middle;z-index:251674624" fillcolor="black" stroked="f" strokeweight="1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D5F2B" w14:textId="77777777" w:rsidR="00213067" w:rsidRDefault="00213067">
    <w:pPr>
      <w:pStyle w:val="Footer"/>
    </w:pPr>
    <w:r w:rsidRPr="004D7FB0">
      <w:rPr>
        <w:noProof/>
        <w:lang w:eastAsia="zh-TW"/>
      </w:rPr>
      <w:drawing>
        <wp:anchor distT="0" distB="0" distL="114300" distR="114300" simplePos="0" relativeHeight="251653632" behindDoc="1" locked="0" layoutInCell="1" allowOverlap="1" wp14:anchorId="0FE65C36" wp14:editId="136C38BF">
          <wp:simplePos x="0" y="0"/>
          <wp:positionH relativeFrom="page">
            <wp:posOffset>5383421</wp:posOffset>
          </wp:positionH>
          <wp:positionV relativeFrom="page">
            <wp:posOffset>9596755</wp:posOffset>
          </wp:positionV>
          <wp:extent cx="2160000" cy="10800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4_cre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1080000"/>
                  </a:xfrm>
                  <a:prstGeom prst="rect">
                    <a:avLst/>
                  </a:prstGeom>
                </pic:spPr>
              </pic:pic>
            </a:graphicData>
          </a:graphic>
          <wp14:sizeRelH relativeFrom="margin">
            <wp14:pctWidth>0</wp14:pctWidth>
          </wp14:sizeRelH>
          <wp14:sizeRelV relativeFrom="margin">
            <wp14:pctHeight>0</wp14:pctHeight>
          </wp14:sizeRelV>
        </wp:anchor>
      </w:drawing>
    </w:r>
  </w:p>
  <w:p w14:paraId="48F8C1A6" w14:textId="77777777" w:rsidR="00213067" w:rsidRDefault="00213067">
    <w:pPr>
      <w:pStyle w:val="Footer"/>
    </w:pPr>
  </w:p>
  <w:p w14:paraId="0A29D829" w14:textId="77777777" w:rsidR="00213067" w:rsidRDefault="00213067">
    <w:pPr>
      <w:pStyle w:val="Footer"/>
    </w:pPr>
  </w:p>
  <w:p w14:paraId="02564669" w14:textId="77777777" w:rsidR="00213067" w:rsidRDefault="002130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6F235" w14:textId="77777777" w:rsidR="00D80A91" w:rsidRDefault="00D80A91">
      <w:r>
        <w:separator/>
      </w:r>
    </w:p>
  </w:footnote>
  <w:footnote w:type="continuationSeparator" w:id="0">
    <w:p w14:paraId="28C58161" w14:textId="77777777" w:rsidR="00D80A91" w:rsidRDefault="00D80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FA78D" w14:textId="77777777" w:rsidR="009B3AD9" w:rsidRDefault="009B3A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690DB" w14:textId="77777777" w:rsidR="00213067" w:rsidRPr="00F02B8C" w:rsidRDefault="00213067" w:rsidP="00D91BE3">
    <w:pPr>
      <w:rPr>
        <w:sz w:val="4"/>
      </w:rPr>
    </w:pPr>
    <w:r w:rsidRPr="00826970">
      <w:rPr>
        <w:noProof/>
        <w:lang w:eastAsia="zh-TW"/>
      </w:rPr>
      <mc:AlternateContent>
        <mc:Choice Requires="wps">
          <w:drawing>
            <wp:anchor distT="0" distB="0" distL="114300" distR="114300" simplePos="0" relativeHeight="251661824" behindDoc="0" locked="0" layoutInCell="1" allowOverlap="1" wp14:anchorId="4C4E717E" wp14:editId="7864B9A0">
              <wp:simplePos x="0" y="0"/>
              <wp:positionH relativeFrom="column">
                <wp:posOffset>5936461</wp:posOffset>
              </wp:positionH>
              <wp:positionV relativeFrom="paragraph">
                <wp:posOffset>1226</wp:posOffset>
              </wp:positionV>
              <wp:extent cx="1073150" cy="328295"/>
              <wp:effectExtent l="0" t="8573" r="4128" b="4127"/>
              <wp:wrapNone/>
              <wp:docPr id="13" name="Rectangle 13"/>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3" o:spid="_x0000_s2049" style="width:84.5pt;height:25.85pt;margin-top:0.1pt;margin-left:467.45pt;mso-wrap-distance-bottom:0;mso-wrap-distance-left:9pt;mso-wrap-distance-right:9pt;mso-wrap-distance-top:0;mso-wrap-style:square;position:absolute;rotation:90;visibility:visible;v-text-anchor:middle;z-index:251676672" fillcolor="#e8ff00" stroked="f" strokeweight="1pt"/>
          </w:pict>
        </mc:Fallback>
      </mc:AlternateContent>
    </w:r>
    <w:r w:rsidRPr="00165F81">
      <w:rPr>
        <w:noProof/>
        <w:sz w:val="4"/>
        <w:lang w:eastAsia="zh-TW"/>
      </w:rPr>
      <mc:AlternateContent>
        <mc:Choice Requires="wps">
          <w:drawing>
            <wp:anchor distT="0" distB="0" distL="114300" distR="114300" simplePos="0" relativeHeight="251660800" behindDoc="0" locked="0" layoutInCell="1" allowOverlap="1" wp14:anchorId="4B321A92" wp14:editId="5C323F29">
              <wp:simplePos x="0" y="0"/>
              <wp:positionH relativeFrom="column">
                <wp:posOffset>-913865</wp:posOffset>
              </wp:positionH>
              <wp:positionV relativeFrom="paragraph">
                <wp:posOffset>-360998</wp:posOffset>
              </wp:positionV>
              <wp:extent cx="1073150" cy="328295"/>
              <wp:effectExtent l="0" t="0" r="0" b="0"/>
              <wp:wrapNone/>
              <wp:docPr id="10" name="Rectangle 10"/>
              <wp:cNvGraphicFramePr/>
              <a:graphic xmlns:a="http://schemas.openxmlformats.org/drawingml/2006/main">
                <a:graphicData uri="http://schemas.microsoft.com/office/word/2010/wordprocessingShape">
                  <wps:wsp>
                    <wps:cNvSpPr/>
                    <wps:spPr>
                      <a:xfrm rot="108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0" o:spid="_x0000_s2050" style="width:84.5pt;height:25.85pt;margin-top:-28.45pt;margin-left:-71.95pt;mso-wrap-distance-bottom:0;mso-wrap-distance-left:9pt;mso-wrap-distance-right:9pt;mso-wrap-distance-top:0;mso-wrap-style:square;position:absolute;rotation:180;visibility:visible;v-text-anchor:middle;z-index:251675648" fillcolor="#e3eddb" stroked="f" strokeweight="1pt"/>
          </w:pict>
        </mc:Fallback>
      </mc:AlternateContent>
    </w:r>
    <w:r w:rsidRPr="00165F81">
      <w:rPr>
        <w:noProof/>
        <w:sz w:val="4"/>
        <w:lang w:eastAsia="zh-TW"/>
      </w:rPr>
      <mc:AlternateContent>
        <mc:Choice Requires="wps">
          <w:drawing>
            <wp:anchor distT="0" distB="0" distL="114300" distR="114300" simplePos="0" relativeHeight="251658752" behindDoc="0" locked="0" layoutInCell="1" allowOverlap="1" wp14:anchorId="0EADE5DC" wp14:editId="4057D3DB">
              <wp:simplePos x="0" y="0"/>
              <wp:positionH relativeFrom="column">
                <wp:posOffset>-1280160</wp:posOffset>
              </wp:positionH>
              <wp:positionV relativeFrom="paragraph">
                <wp:posOffset>9618980</wp:posOffset>
              </wp:positionV>
              <wp:extent cx="1073150" cy="328295"/>
              <wp:effectExtent l="0" t="8573" r="4128" b="4127"/>
              <wp:wrapNone/>
              <wp:docPr id="41" name="Rectangle 41"/>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41" o:spid="_x0000_s2051" style="width:84.5pt;height:25.85pt;margin-top:757.4pt;margin-left:-100.8pt;mso-height-percent:0;mso-height-relative:margin;mso-width-percent:0;mso-width-relative:margin;mso-wrap-distance-bottom:0;mso-wrap-distance-left:9pt;mso-wrap-distance-right:9pt;mso-wrap-distance-top:0;mso-wrap-style:square;position:absolute;rotation:90;visibility:visible;v-text-anchor:middle;z-index:251673600" fillcolor="black" stroked="f" strokeweight="1pt"/>
          </w:pict>
        </mc:Fallback>
      </mc:AlternateContent>
    </w:r>
    <w:r w:rsidRPr="00165F81">
      <w:rPr>
        <w:noProof/>
        <w:sz w:val="4"/>
        <w:lang w:eastAsia="zh-TW"/>
      </w:rPr>
      <mc:AlternateContent>
        <mc:Choice Requires="wps">
          <w:drawing>
            <wp:anchor distT="0" distB="0" distL="114300" distR="114300" simplePos="0" relativeHeight="251657728" behindDoc="0" locked="0" layoutInCell="1" allowOverlap="1" wp14:anchorId="04675579" wp14:editId="0B46BF6D">
              <wp:simplePos x="0" y="0"/>
              <wp:positionH relativeFrom="column">
                <wp:posOffset>-1280795</wp:posOffset>
              </wp:positionH>
              <wp:positionV relativeFrom="paragraph">
                <wp:posOffset>1073785</wp:posOffset>
              </wp:positionV>
              <wp:extent cx="1073150" cy="328295"/>
              <wp:effectExtent l="0" t="8573" r="4128" b="4127"/>
              <wp:wrapNone/>
              <wp:docPr id="39" name="Rectangle 39"/>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9" o:spid="_x0000_s2052" style="width:84.5pt;height:25.85pt;margin-top:84.55pt;margin-left:-100.85pt;mso-wrap-distance-bottom:0;mso-wrap-distance-left:9pt;mso-wrap-distance-right:9pt;mso-wrap-distance-top:0;mso-wrap-style:square;position:absolute;rotation:90;visibility:visible;v-text-anchor:middle;z-index:251672576" fillcolor="black" stroked="f" strokeweight="1pt"/>
          </w:pict>
        </mc:Fallback>
      </mc:AlternateContent>
    </w:r>
    <w:r w:rsidRPr="00165F81">
      <w:rPr>
        <w:noProof/>
        <w:sz w:val="4"/>
        <w:lang w:eastAsia="zh-TW"/>
      </w:rPr>
      <mc:AlternateContent>
        <mc:Choice Requires="wps">
          <w:drawing>
            <wp:anchor distT="0" distB="0" distL="114300" distR="114300" simplePos="0" relativeHeight="251656704" behindDoc="0" locked="0" layoutInCell="1" allowOverlap="1" wp14:anchorId="342A827A" wp14:editId="5DDC5FE7">
              <wp:simplePos x="0" y="0"/>
              <wp:positionH relativeFrom="column">
                <wp:posOffset>-1280160</wp:posOffset>
              </wp:positionH>
              <wp:positionV relativeFrom="paragraph">
                <wp:posOffset>8255</wp:posOffset>
              </wp:positionV>
              <wp:extent cx="1073150" cy="328295"/>
              <wp:effectExtent l="0" t="8573" r="4128" b="4127"/>
              <wp:wrapNone/>
              <wp:docPr id="38" name="Rectangle 38"/>
              <wp:cNvGraphicFramePr/>
              <a:graphic xmlns:a="http://schemas.openxmlformats.org/drawingml/2006/main">
                <a:graphicData uri="http://schemas.microsoft.com/office/word/2010/wordprocessingShape">
                  <wps:wsp>
                    <wps:cNvSpPr/>
                    <wps:spPr>
                      <a:xfrm rot="5400000">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8" o:spid="_x0000_s2053" style="width:84.5pt;height:25.85pt;margin-top:0.65pt;margin-left:-100.8pt;mso-wrap-distance-bottom:0;mso-wrap-distance-left:9pt;mso-wrap-distance-right:9pt;mso-wrap-distance-top:0;mso-wrap-style:square;position:absolute;rotation:90;visibility:visible;v-text-anchor:middle;z-index:251671552" fillcolor="#e3eddb" stroked="f" strokeweight="1pt"/>
          </w:pict>
        </mc:Fallback>
      </mc:AlternateContent>
    </w:r>
    <w:r w:rsidRPr="00165F81">
      <w:rPr>
        <w:noProof/>
        <w:sz w:val="4"/>
        <w:lang w:eastAsia="zh-TW"/>
      </w:rPr>
      <mc:AlternateContent>
        <mc:Choice Requires="wps">
          <w:drawing>
            <wp:anchor distT="0" distB="0" distL="114300" distR="114300" simplePos="0" relativeHeight="251655680" behindDoc="0" locked="0" layoutInCell="1" allowOverlap="1" wp14:anchorId="6A581C19" wp14:editId="513ADC99">
              <wp:simplePos x="0" y="0"/>
              <wp:positionH relativeFrom="column">
                <wp:posOffset>-915035</wp:posOffset>
              </wp:positionH>
              <wp:positionV relativeFrom="paragraph">
                <wp:posOffset>10455910</wp:posOffset>
              </wp:positionV>
              <wp:extent cx="1073150" cy="328295"/>
              <wp:effectExtent l="0" t="0" r="0" b="0"/>
              <wp:wrapNone/>
              <wp:docPr id="37" name="Rectangle 37"/>
              <wp:cNvGraphicFramePr/>
              <a:graphic xmlns:a="http://schemas.openxmlformats.org/drawingml/2006/main">
                <a:graphicData uri="http://schemas.microsoft.com/office/word/2010/wordprocessingShape">
                  <wps:wsp>
                    <wps:cNvSpPr/>
                    <wps:spPr>
                      <a:xfrm>
                        <a:off x="0" y="0"/>
                        <a:ext cx="1073150" cy="32829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37" o:spid="_x0000_s2054" style="width:84.5pt;height:25.85pt;margin-top:823.3pt;margin-left:-72.05pt;mso-wrap-distance-bottom:0;mso-wrap-distance-left:9pt;mso-wrap-distance-right:9pt;mso-wrap-distance-top:0;mso-wrap-style:square;position:absolute;visibility:visible;v-text-anchor:middle;z-index:251670528" fillcolor="#e3eddb" stroked="f" strokeweight="1pt"/>
          </w:pict>
        </mc:Fallback>
      </mc:AlternateContent>
    </w:r>
  </w:p>
  <w:p w14:paraId="26BFDCD4" w14:textId="77777777" w:rsidR="00213067" w:rsidRPr="006108C5" w:rsidRDefault="00213067" w:rsidP="00D91BE3">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DB20F" w14:textId="77777777" w:rsidR="00213067" w:rsidRDefault="00213067">
    <w:pPr>
      <w:pStyle w:val="Header"/>
    </w:pPr>
    <w:r w:rsidRPr="00826970">
      <w:rPr>
        <w:noProof/>
        <w:lang w:eastAsia="zh-TW"/>
      </w:rPr>
      <mc:AlternateContent>
        <mc:Choice Requires="wps">
          <w:drawing>
            <wp:anchor distT="0" distB="0" distL="114300" distR="114300" simplePos="0" relativeHeight="251652608" behindDoc="0" locked="0" layoutInCell="1" allowOverlap="1" wp14:anchorId="46E27449" wp14:editId="7893DFF8">
              <wp:simplePos x="0" y="0"/>
              <wp:positionH relativeFrom="column">
                <wp:posOffset>2100537</wp:posOffset>
              </wp:positionH>
              <wp:positionV relativeFrom="paragraph">
                <wp:posOffset>-3385677</wp:posOffset>
              </wp:positionV>
              <wp:extent cx="1524286" cy="7553325"/>
              <wp:effectExtent l="0" t="4763" r="0" b="0"/>
              <wp:wrapNone/>
              <wp:docPr id="12" name="Rectangle 12"/>
              <wp:cNvGraphicFramePr/>
              <a:graphic xmlns:a="http://schemas.openxmlformats.org/drawingml/2006/main">
                <a:graphicData uri="http://schemas.microsoft.com/office/word/2010/wordprocessingShape">
                  <wps:wsp>
                    <wps:cNvSpPr/>
                    <wps:spPr>
                      <a:xfrm rot="5400000">
                        <a:off x="0" y="0"/>
                        <a:ext cx="1524286" cy="755332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cx1="http://schemas.microsoft.com/office/drawing/2015/9/8/chartex" xmlns:cx="http://schemas.microsoft.com/office/drawing/2014/chartex">
          <w:pict>
            <v:rect id="Rectangle 12" o:spid="_x0000_s2057" style="width:120pt;height:594.75pt;margin-top:-266.6pt;margin-left:165.4pt;mso-height-percent:0;mso-height-relative:margin;mso-width-percent:0;mso-width-relative:margin;mso-wrap-distance-bottom:0;mso-wrap-distance-left:9pt;mso-wrap-distance-right:9pt;mso-wrap-distance-top:0;mso-wrap-style:square;position:absolute;rotation:90;visibility:visible;v-text-anchor:middle;z-index:251669504" fillcolor="#e3eddb" stroked="f" strokeweight="1pt"/>
          </w:pict>
        </mc:Fallback>
      </mc:AlternateContent>
    </w:r>
    <w:r>
      <w:rPr>
        <w:noProof/>
        <w:lang w:eastAsia="zh-TW"/>
      </w:rPr>
      <w:drawing>
        <wp:anchor distT="0" distB="0" distL="114300" distR="114300" simplePos="0" relativeHeight="251654656" behindDoc="0" locked="0" layoutInCell="1" allowOverlap="1" wp14:anchorId="5C0429EC" wp14:editId="26C93441">
          <wp:simplePos x="0" y="0"/>
          <wp:positionH relativeFrom="column">
            <wp:posOffset>-913798</wp:posOffset>
          </wp:positionH>
          <wp:positionV relativeFrom="paragraph">
            <wp:posOffset>-363220</wp:posOffset>
          </wp:positionV>
          <wp:extent cx="3054102" cy="82601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DESBT_wordmark_mon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54102" cy="8260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D0292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69478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CD689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D2826C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3F0D7C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88C71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3A2C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1A9E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1FB28C5"/>
    <w:multiLevelType w:val="multilevel"/>
    <w:tmpl w:val="11C64328"/>
    <w:styleLink w:val="ListParagraph"/>
    <w:lvl w:ilvl="0">
      <w:start w:val="1"/>
      <w:numFmt w:val="none"/>
      <w:suff w:val="nothing"/>
      <w:lvlText w:val=""/>
      <w:lvlJc w:val="left"/>
      <w:pPr>
        <w:ind w:left="284" w:firstLine="0"/>
      </w:pPr>
      <w:rPr>
        <w:rFonts w:asciiTheme="minorHAnsi" w:hAnsiTheme="minorHAnsi" w:hint="default"/>
        <w:color w:val="auto"/>
      </w:rPr>
    </w:lvl>
    <w:lvl w:ilvl="1">
      <w:start w:val="1"/>
      <w:numFmt w:val="none"/>
      <w:suff w:val="nothing"/>
      <w:lvlText w:val=""/>
      <w:lvlJc w:val="left"/>
      <w:pPr>
        <w:ind w:left="567" w:firstLine="0"/>
      </w:pPr>
      <w:rPr>
        <w:rFonts w:asciiTheme="minorHAnsi" w:hAnsiTheme="minorHAnsi" w:hint="default"/>
        <w:color w:val="auto"/>
      </w:rPr>
    </w:lvl>
    <w:lvl w:ilvl="2">
      <w:start w:val="1"/>
      <w:numFmt w:val="none"/>
      <w:suff w:val="nothing"/>
      <w:lvlText w:val=""/>
      <w:lvlJc w:val="left"/>
      <w:pPr>
        <w:ind w:left="851" w:firstLine="0"/>
      </w:pPr>
      <w:rPr>
        <w:rFonts w:asciiTheme="minorHAnsi" w:hAnsiTheme="minorHAnsi" w:hint="default"/>
        <w:color w:val="auto"/>
      </w:rPr>
    </w:lvl>
    <w:lvl w:ilvl="3">
      <w:start w:val="1"/>
      <w:numFmt w:val="none"/>
      <w:suff w:val="nothing"/>
      <w:lvlText w:val=""/>
      <w:lvlJc w:val="left"/>
      <w:pPr>
        <w:ind w:left="1134" w:firstLine="0"/>
      </w:pPr>
      <w:rPr>
        <w:rFonts w:asciiTheme="minorHAnsi" w:hAnsiTheme="minorHAnsi" w:hint="default"/>
        <w:color w:val="auto"/>
      </w:rPr>
    </w:lvl>
    <w:lvl w:ilvl="4">
      <w:start w:val="1"/>
      <w:numFmt w:val="none"/>
      <w:suff w:val="nothing"/>
      <w:lvlText w:val=""/>
      <w:lvlJc w:val="left"/>
      <w:pPr>
        <w:ind w:left="1418" w:firstLine="0"/>
      </w:pPr>
      <w:rPr>
        <w:rFonts w:asciiTheme="minorHAnsi" w:hAnsiTheme="minorHAnsi" w:hint="default"/>
        <w:color w:val="auto"/>
      </w:rPr>
    </w:lvl>
    <w:lvl w:ilvl="5">
      <w:start w:val="1"/>
      <w:numFmt w:val="none"/>
      <w:suff w:val="nothing"/>
      <w:lvlText w:val=""/>
      <w:lvlJc w:val="left"/>
      <w:pPr>
        <w:ind w:left="1701" w:firstLine="0"/>
      </w:pPr>
      <w:rPr>
        <w:rFonts w:asciiTheme="minorHAnsi" w:hAnsiTheme="minorHAnsi" w:hint="default"/>
        <w:color w:val="auto"/>
      </w:rPr>
    </w:lvl>
    <w:lvl w:ilvl="6">
      <w:start w:val="1"/>
      <w:numFmt w:val="none"/>
      <w:suff w:val="nothing"/>
      <w:lvlText w:val=""/>
      <w:lvlJc w:val="left"/>
      <w:pPr>
        <w:ind w:left="1985" w:firstLine="0"/>
      </w:pPr>
      <w:rPr>
        <w:rFonts w:hint="default"/>
        <w:color w:val="000000"/>
      </w:rPr>
    </w:lvl>
    <w:lvl w:ilvl="7">
      <w:start w:val="1"/>
      <w:numFmt w:val="none"/>
      <w:suff w:val="nothing"/>
      <w:lvlText w:val=""/>
      <w:lvlJc w:val="left"/>
      <w:pPr>
        <w:ind w:left="2268" w:firstLine="0"/>
      </w:pPr>
      <w:rPr>
        <w:rFonts w:hint="default"/>
      </w:rPr>
    </w:lvl>
    <w:lvl w:ilvl="8">
      <w:numFmt w:val="none"/>
      <w:lvlText w:val=""/>
      <w:lvlJc w:val="left"/>
      <w:pPr>
        <w:tabs>
          <w:tab w:val="num" w:pos="3123"/>
        </w:tabs>
        <w:ind w:left="2552" w:firstLine="0"/>
      </w:pPr>
      <w:rPr>
        <w:rFonts w:hint="default"/>
      </w:rPr>
    </w:lvl>
  </w:abstractNum>
  <w:abstractNum w:abstractNumId="9" w15:restartNumberingAfterBreak="0">
    <w:nsid w:val="02471641"/>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1551AD2"/>
    <w:multiLevelType w:val="hybridMultilevel"/>
    <w:tmpl w:val="44E21B62"/>
    <w:lvl w:ilvl="0" w:tplc="0C090015">
      <w:start w:val="1"/>
      <w:numFmt w:val="upp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15:restartNumberingAfterBreak="0">
    <w:nsid w:val="16DE74BA"/>
    <w:multiLevelType w:val="hybridMultilevel"/>
    <w:tmpl w:val="B0321ED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6EE5AFC"/>
    <w:multiLevelType w:val="hybridMultilevel"/>
    <w:tmpl w:val="B0321ED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C6F0D88"/>
    <w:multiLevelType w:val="multilevel"/>
    <w:tmpl w:val="1A3A6694"/>
    <w:lvl w:ilvl="0">
      <w:start w:val="1"/>
      <w:numFmt w:val="none"/>
      <w:pStyle w:val="TableNarrowNumberingC-Level1"/>
      <w:lvlText w:val="%1"/>
      <w:lvlJc w:val="left"/>
      <w:rPr>
        <w:rFonts w:cs="Times New Roman" w:hint="default"/>
      </w:rPr>
    </w:lvl>
    <w:lvl w:ilvl="1">
      <w:start w:val="1"/>
      <w:numFmt w:val="lowerLetter"/>
      <w:pStyle w:val="TableNarrowNumberingC-Level2"/>
      <w:lvlText w:val="%1%2)"/>
      <w:lvlJc w:val="left"/>
      <w:pPr>
        <w:tabs>
          <w:tab w:val="num" w:pos="425"/>
        </w:tabs>
        <w:ind w:left="425" w:hanging="425"/>
      </w:pPr>
      <w:rPr>
        <w:rFonts w:ascii="Arial" w:hAnsi="Arial" w:cs="Arial" w:hint="default"/>
      </w:rPr>
    </w:lvl>
    <w:lvl w:ilvl="2">
      <w:start w:val="1"/>
      <w:numFmt w:val="lowerRoman"/>
      <w:pStyle w:val="TableNarrowNumberingC-Level3"/>
      <w:lvlText w:val="%1%3)"/>
      <w:lvlJc w:val="left"/>
      <w:pPr>
        <w:tabs>
          <w:tab w:val="num" w:pos="1134"/>
        </w:tabs>
        <w:ind w:left="1134"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24560B8"/>
    <w:multiLevelType w:val="hybridMultilevel"/>
    <w:tmpl w:val="714E56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BF356D1"/>
    <w:multiLevelType w:val="hybridMultilevel"/>
    <w:tmpl w:val="979A7EA2"/>
    <w:lvl w:ilvl="0" w:tplc="CD689D9A">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F645B35"/>
    <w:multiLevelType w:val="hybridMultilevel"/>
    <w:tmpl w:val="97B0D9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2FA57B71"/>
    <w:multiLevelType w:val="hybridMultilevel"/>
    <w:tmpl w:val="66DA58C8"/>
    <w:lvl w:ilvl="0" w:tplc="880A544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FF75CFB"/>
    <w:multiLevelType w:val="hybridMultilevel"/>
    <w:tmpl w:val="A412D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38B08D3"/>
    <w:multiLevelType w:val="multilevel"/>
    <w:tmpl w:val="649ABC68"/>
    <w:lvl w:ilvl="0">
      <w:start w:val="1"/>
      <w:numFmt w:val="bullet"/>
      <w:pStyle w:val="ListBulletWhite"/>
      <w:lvlText w:val=""/>
      <w:lvlJc w:val="left"/>
      <w:pPr>
        <w:tabs>
          <w:tab w:val="num" w:pos="284"/>
        </w:tabs>
        <w:ind w:left="284" w:hanging="284"/>
      </w:pPr>
      <w:rPr>
        <w:rFonts w:ascii="Wingdings" w:hAnsi="Wingdings" w:hint="default"/>
        <w:b w:val="0"/>
        <w:i w:val="0"/>
        <w:color w:val="FFFFFF"/>
        <w:sz w:val="22"/>
      </w:rPr>
    </w:lvl>
    <w:lvl w:ilvl="1">
      <w:start w:val="1"/>
      <w:numFmt w:val="bullet"/>
      <w:lvlText w:val="–"/>
      <w:lvlJc w:val="left"/>
      <w:pPr>
        <w:tabs>
          <w:tab w:val="num" w:pos="567"/>
        </w:tabs>
        <w:ind w:left="567" w:hanging="283"/>
      </w:pPr>
      <w:rPr>
        <w:rFonts w:ascii="Arial Bold" w:hAnsi="Arial Bold" w:hint="default"/>
        <w:b/>
        <w:i w:val="0"/>
        <w:color w:val="FFFFFF"/>
        <w:sz w:val="26"/>
      </w:rPr>
    </w:lvl>
    <w:lvl w:ilvl="2">
      <w:start w:val="1"/>
      <w:numFmt w:val="bullet"/>
      <w:lvlText w:val="○"/>
      <w:lvlJc w:val="left"/>
      <w:pPr>
        <w:tabs>
          <w:tab w:val="num" w:pos="851"/>
        </w:tabs>
        <w:ind w:left="851" w:hanging="284"/>
      </w:pPr>
      <w:rPr>
        <w:rFonts w:ascii="Arial" w:hAnsi="Arial" w:hint="default"/>
        <w:b w:val="0"/>
        <w:i w:val="0"/>
        <w:color w:val="FFFFFF"/>
        <w:sz w:val="26"/>
      </w:rPr>
    </w:lvl>
    <w:lvl w:ilvl="3">
      <w:start w:val="1"/>
      <w:numFmt w:val="none"/>
      <w:lvlRestart w:val="0"/>
      <w:lvlText w:val=""/>
      <w:lvlJc w:val="left"/>
      <w:pPr>
        <w:tabs>
          <w:tab w:val="num" w:pos="-31680"/>
        </w:tabs>
        <w:ind w:left="-32767" w:firstLine="32767"/>
      </w:pPr>
      <w:rPr>
        <w:rFonts w:hint="default"/>
        <w:b/>
        <w:i w:val="0"/>
        <w:color w:val="auto"/>
        <w:sz w:val="20"/>
      </w:rPr>
    </w:lvl>
    <w:lvl w:ilvl="4">
      <w:start w:val="1"/>
      <w:numFmt w:val="none"/>
      <w:lvlRestart w:val="0"/>
      <w:lvlText w:val=""/>
      <w:lvlJc w:val="left"/>
      <w:pPr>
        <w:tabs>
          <w:tab w:val="num" w:pos="-31680"/>
        </w:tabs>
        <w:ind w:left="-32767" w:firstLine="32767"/>
      </w:pPr>
      <w:rPr>
        <w:rFonts w:hint="default"/>
        <w:b/>
        <w:i w:val="0"/>
      </w:rPr>
    </w:lvl>
    <w:lvl w:ilvl="5">
      <w:start w:val="1"/>
      <w:numFmt w:val="none"/>
      <w:lvlRestart w:val="3"/>
      <w:lvlText w:val=""/>
      <w:lvlJc w:val="left"/>
      <w:pPr>
        <w:tabs>
          <w:tab w:val="num" w:pos="-31680"/>
        </w:tabs>
        <w:ind w:left="567" w:hanging="567"/>
      </w:pPr>
      <w:rPr>
        <w:rFonts w:hint="default"/>
        <w:color w:val="auto"/>
      </w:rPr>
    </w:lvl>
    <w:lvl w:ilvl="6">
      <w:start w:val="1"/>
      <w:numFmt w:val="none"/>
      <w:lvlText w:val=""/>
      <w:lvlJc w:val="left"/>
      <w:pPr>
        <w:tabs>
          <w:tab w:val="num" w:pos="-31680"/>
        </w:tabs>
        <w:ind w:left="-32767" w:firstLine="0"/>
      </w:pPr>
      <w:rPr>
        <w:rFonts w:hint="default"/>
        <w:color w:val="auto"/>
        <w:sz w:val="26"/>
        <w:szCs w:val="22"/>
      </w:rPr>
    </w:lvl>
    <w:lvl w:ilvl="7">
      <w:start w:val="1"/>
      <w:numFmt w:val="none"/>
      <w:lvlRestart w:val="2"/>
      <w:lvlText w:val=""/>
      <w:lvlJc w:val="left"/>
      <w:pPr>
        <w:tabs>
          <w:tab w:val="num" w:pos="-31680"/>
        </w:tabs>
        <w:ind w:left="-32767" w:firstLine="0"/>
      </w:pPr>
      <w:rPr>
        <w:rFonts w:hint="default"/>
        <w:b w:val="0"/>
        <w:i w:val="0"/>
        <w:color w:val="auto"/>
        <w:sz w:val="26"/>
        <w:szCs w:val="16"/>
      </w:rPr>
    </w:lvl>
    <w:lvl w:ilvl="8">
      <w:start w:val="1"/>
      <w:numFmt w:val="none"/>
      <w:lvlText w:val=""/>
      <w:lvlJc w:val="left"/>
      <w:pPr>
        <w:tabs>
          <w:tab w:val="num" w:pos="-31680"/>
        </w:tabs>
        <w:ind w:left="-32767" w:firstLine="0"/>
      </w:pPr>
      <w:rPr>
        <w:rFonts w:hint="default"/>
        <w:color w:val="auto"/>
        <w:sz w:val="26"/>
      </w:rPr>
    </w:lvl>
  </w:abstractNum>
  <w:abstractNum w:abstractNumId="20" w15:restartNumberingAfterBreak="0">
    <w:nsid w:val="353912ED"/>
    <w:multiLevelType w:val="multilevel"/>
    <w:tmpl w:val="7228EA06"/>
    <w:styleLink w:val="ListBullet"/>
    <w:lvl w:ilvl="0">
      <w:start w:val="1"/>
      <w:numFmt w:val="bullet"/>
      <w:lvlText w:val=""/>
      <w:lvlJc w:val="left"/>
      <w:pPr>
        <w:tabs>
          <w:tab w:val="num" w:pos="284"/>
        </w:tabs>
        <w:ind w:left="284" w:hanging="284"/>
      </w:pPr>
      <w:rPr>
        <w:rFonts w:ascii="Symbol" w:hAnsi="Symbol" w:hint="default"/>
        <w:b w:val="0"/>
        <w:i w:val="0"/>
        <w:color w:val="auto"/>
        <w:sz w:val="22"/>
        <w:szCs w:val="20"/>
      </w:rPr>
    </w:lvl>
    <w:lvl w:ilvl="1">
      <w:start w:val="1"/>
      <w:numFmt w:val="bullet"/>
      <w:lvlText w:val="–"/>
      <w:lvlJc w:val="left"/>
      <w:pPr>
        <w:tabs>
          <w:tab w:val="num" w:pos="567"/>
        </w:tabs>
        <w:ind w:left="567" w:hanging="283"/>
      </w:pPr>
      <w:rPr>
        <w:rFonts w:asciiTheme="minorHAnsi" w:hAnsiTheme="minorHAnsi" w:hint="default"/>
        <w:caps w:val="0"/>
        <w:strike w:val="0"/>
        <w:dstrike w:val="0"/>
        <w:vanish w:val="0"/>
        <w:color w:val="auto"/>
        <w:sz w:val="22"/>
        <w:u w:val="none"/>
        <w:vertAlign w:val="baseline"/>
      </w:rPr>
    </w:lvl>
    <w:lvl w:ilvl="2">
      <w:start w:val="1"/>
      <w:numFmt w:val="bullet"/>
      <w:lvlText w:val=""/>
      <w:lvlJc w:val="left"/>
      <w:pPr>
        <w:tabs>
          <w:tab w:val="num" w:pos="851"/>
        </w:tabs>
        <w:ind w:left="851" w:hanging="284"/>
      </w:pPr>
      <w:rPr>
        <w:rFonts w:ascii="Wingdings" w:hAnsi="Wingdings" w:hint="default"/>
        <w:color w:val="000000" w:themeColor="text1"/>
        <w:sz w:val="22"/>
      </w:rPr>
    </w:lvl>
    <w:lvl w:ilvl="3">
      <w:start w:val="1"/>
      <w:numFmt w:val="bullet"/>
      <w:lvlText w:val=""/>
      <w:lvlJc w:val="left"/>
      <w:pPr>
        <w:tabs>
          <w:tab w:val="num" w:pos="1134"/>
        </w:tabs>
        <w:ind w:left="1134" w:hanging="283"/>
      </w:pPr>
      <w:rPr>
        <w:rFonts w:ascii="Wingdings" w:hAnsi="Wingdings" w:hint="default"/>
        <w:caps w:val="0"/>
        <w:strike w:val="0"/>
        <w:dstrike w:val="0"/>
        <w:vanish w:val="0"/>
        <w:color w:val="auto"/>
        <w:sz w:val="22"/>
        <w:u w:val="none"/>
        <w:vertAlign w:val="baseline"/>
      </w:rPr>
    </w:lvl>
    <w:lvl w:ilvl="4">
      <w:start w:val="1"/>
      <w:numFmt w:val="bullet"/>
      <w:lvlText w:val=""/>
      <w:lvlJc w:val="left"/>
      <w:pPr>
        <w:tabs>
          <w:tab w:val="num" w:pos="1418"/>
        </w:tabs>
        <w:ind w:left="1418" w:hanging="284"/>
      </w:pPr>
      <w:rPr>
        <w:rFonts w:ascii="Symbol" w:hAnsi="Symbol" w:cs="Times New Roman" w:hint="default"/>
        <w:color w:val="auto"/>
        <w:sz w:val="22"/>
      </w:rPr>
    </w:lvl>
    <w:lvl w:ilvl="5">
      <w:start w:val="1"/>
      <w:numFmt w:val="bullet"/>
      <w:lvlText w:val=""/>
      <w:lvlJc w:val="left"/>
      <w:pPr>
        <w:tabs>
          <w:tab w:val="num" w:pos="1701"/>
        </w:tabs>
        <w:ind w:left="1701" w:hanging="283"/>
      </w:pPr>
      <w:rPr>
        <w:rFonts w:ascii="Wingdings" w:hAnsi="Wingdings" w:cs="Times New Roman" w:hint="default"/>
        <w:caps w:val="0"/>
        <w:strike w:val="0"/>
        <w:dstrike w:val="0"/>
        <w:vanish w:val="0"/>
        <w:color w:val="auto"/>
        <w:sz w:val="22"/>
        <w:u w:val="none"/>
        <w:vertAlign w:val="baseline"/>
      </w:rPr>
    </w:lvl>
    <w:lvl w:ilvl="6">
      <w:start w:val="1"/>
      <w:numFmt w:val="none"/>
      <w:suff w:val="nothing"/>
      <w:lvlText w:val=""/>
      <w:lvlJc w:val="left"/>
      <w:pPr>
        <w:ind w:left="0" w:firstLine="0"/>
      </w:pPr>
      <w:rPr>
        <w:rFonts w:hint="default"/>
        <w:color w:val="auto"/>
        <w:sz w:val="20"/>
      </w:rPr>
    </w:lvl>
    <w:lvl w:ilvl="7">
      <w:start w:val="1"/>
      <w:numFmt w:val="none"/>
      <w:suff w:val="nothing"/>
      <w:lvlText w:val="%8"/>
      <w:lvlJc w:val="left"/>
      <w:pPr>
        <w:ind w:left="0" w:firstLine="0"/>
      </w:pPr>
      <w:rPr>
        <w:rFonts w:hint="default"/>
        <w:color w:val="000000"/>
        <w:sz w:val="20"/>
      </w:rPr>
    </w:lvl>
    <w:lvl w:ilvl="8">
      <w:start w:val="1"/>
      <w:numFmt w:val="none"/>
      <w:suff w:val="nothing"/>
      <w:lvlText w:val=""/>
      <w:lvlJc w:val="left"/>
      <w:pPr>
        <w:ind w:left="0" w:firstLine="0"/>
      </w:pPr>
      <w:rPr>
        <w:rFonts w:hint="default"/>
      </w:rPr>
    </w:lvl>
  </w:abstractNum>
  <w:abstractNum w:abstractNumId="21" w15:restartNumberingAfterBreak="0">
    <w:nsid w:val="37AC7799"/>
    <w:multiLevelType w:val="hybridMultilevel"/>
    <w:tmpl w:val="415E13F8"/>
    <w:lvl w:ilvl="0" w:tplc="27EE1EE8">
      <w:start w:val="1"/>
      <w:numFmt w:val="upperLetter"/>
      <w:lvlText w:val="%1."/>
      <w:lvlJc w:val="left"/>
      <w:pPr>
        <w:ind w:left="1080" w:hanging="360"/>
      </w:pPr>
    </w:lvl>
    <w:lvl w:ilvl="1" w:tplc="8C1C799A">
      <w:start w:val="1"/>
      <w:numFmt w:val="decimal"/>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15:restartNumberingAfterBreak="0">
    <w:nsid w:val="38F25B39"/>
    <w:multiLevelType w:val="multilevel"/>
    <w:tmpl w:val="496C39FC"/>
    <w:lvl w:ilvl="0">
      <w:start w:val="1"/>
      <w:numFmt w:val="decimal"/>
      <w:pStyle w:val="TableListNumb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23" w15:restartNumberingAfterBreak="0">
    <w:nsid w:val="3A754C54"/>
    <w:multiLevelType w:val="multilevel"/>
    <w:tmpl w:val="C56AFEA0"/>
    <w:name w:val="NumberingE3"/>
    <w:lvl w:ilvl="0">
      <w:start w:val="1"/>
      <w:numFmt w:val="lowerLetter"/>
      <w:pStyle w:val="TableNarrowNumberingB-Level1"/>
      <w:lvlText w:val="(%1)"/>
      <w:lvlJc w:val="left"/>
      <w:pPr>
        <w:tabs>
          <w:tab w:val="num" w:pos="425"/>
        </w:tabs>
        <w:ind w:left="425" w:hanging="425"/>
      </w:pPr>
      <w:rPr>
        <w:rFonts w:ascii="Arial Bold" w:hAnsi="Arial Bold" w:cs="Arial Bold" w:hint="default"/>
        <w:b/>
        <w:bCs/>
        <w:i w:val="0"/>
        <w:iCs w:val="0"/>
      </w:rPr>
    </w:lvl>
    <w:lvl w:ilvl="1">
      <w:start w:val="1"/>
      <w:numFmt w:val="lowerRoman"/>
      <w:pStyle w:val="TableNarrowNumberingB-Level2"/>
      <w:lvlText w:val="%2)"/>
      <w:lvlJc w:val="left"/>
      <w:pPr>
        <w:tabs>
          <w:tab w:val="num" w:pos="284"/>
        </w:tabs>
        <w:ind w:left="284" w:hanging="284"/>
      </w:pPr>
      <w:rPr>
        <w:rFonts w:cs="Times New Roman" w:hint="default"/>
      </w:rPr>
    </w:lvl>
    <w:lvl w:ilvl="2">
      <w:start w:val="1"/>
      <w:numFmt w:val="bullet"/>
      <w:pStyle w:val="TableNarrowNumberingB-Level3"/>
      <w:lvlText w:val=""/>
      <w:lvlJc w:val="left"/>
      <w:pPr>
        <w:tabs>
          <w:tab w:val="num" w:pos="567"/>
        </w:tabs>
        <w:ind w:left="567" w:hanging="283"/>
      </w:pPr>
      <w:rPr>
        <w:rFonts w:ascii="Symbol" w:hAnsi="Symbol" w:hint="default"/>
        <w:color w:val="auto"/>
      </w:rPr>
    </w:lvl>
    <w:lvl w:ilvl="3">
      <w:start w:val="1"/>
      <w:numFmt w:val="bullet"/>
      <w:pStyle w:val="TableNarrowNumberingB-Level4"/>
      <w:lvlText w:val=""/>
      <w:lvlJc w:val="left"/>
      <w:pPr>
        <w:tabs>
          <w:tab w:val="num" w:pos="1701"/>
        </w:tabs>
        <w:ind w:left="1701" w:hanging="567"/>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3B740240"/>
    <w:multiLevelType w:val="multilevel"/>
    <w:tmpl w:val="EFD0B804"/>
    <w:lvl w:ilvl="0">
      <w:start w:val="1"/>
      <w:numFmt w:val="decimal"/>
      <w:suff w:val="nothing"/>
      <w:lvlText w:val="Appendix %1"/>
      <w:lvlJc w:val="left"/>
      <w:pPr>
        <w:ind w:left="0" w:firstLine="0"/>
      </w:pPr>
      <w:rPr>
        <w:rFonts w:hint="default"/>
      </w:rPr>
    </w:lvl>
    <w:lvl w:ilvl="1">
      <w:start w:val="1"/>
      <w:numFmt w:val="decimal"/>
      <w:suff w:val="nothing"/>
      <w:lvlText w:val="Part %2 - "/>
      <w:lvlJc w:val="left"/>
      <w:pPr>
        <w:ind w:left="0" w:firstLine="0"/>
      </w:pPr>
      <w:rPr>
        <w:rFonts w:hint="default"/>
      </w:rPr>
    </w:lvl>
    <w:lvl w:ilvl="2">
      <w:start w:val="1"/>
      <w:numFmt w:val="decimal"/>
      <w:suff w:val="nothing"/>
      <w:lvlText w:val="Condition %3"/>
      <w:lvlJc w:val="left"/>
      <w:pPr>
        <w:ind w:left="0" w:firstLine="0"/>
      </w:pPr>
      <w:rPr>
        <w:rFonts w:hint="default"/>
      </w:rPr>
    </w:lvl>
    <w:lvl w:ilvl="3">
      <w:start w:val="1"/>
      <w:numFmt w:val="upperLetter"/>
      <w:lvlRestart w:val="2"/>
      <w:suff w:val="nothing"/>
      <w:lvlText w:val="Schedule %4 - "/>
      <w:lvlJc w:val="left"/>
      <w:pPr>
        <w:ind w:left="0" w:firstLine="0"/>
      </w:pPr>
      <w:rPr>
        <w:rFonts w:hint="default"/>
      </w:rPr>
    </w:lvl>
    <w:lvl w:ilvl="4">
      <w:start w:val="1"/>
      <w:numFmt w:val="decimal"/>
      <w:lvlText w:val="(%4%5)"/>
      <w:lvlJc w:val="left"/>
      <w:pPr>
        <w:tabs>
          <w:tab w:val="num" w:pos="851"/>
        </w:tabs>
        <w:ind w:left="851" w:hanging="851"/>
      </w:pPr>
      <w:rPr>
        <w:rFonts w:hint="default"/>
      </w:rPr>
    </w:lvl>
    <w:lvl w:ilvl="5">
      <w:start w:val="1"/>
      <w:numFmt w:val="lowerLetter"/>
      <w:lvlText w:val="(%6)"/>
      <w:lvlJc w:val="left"/>
      <w:pPr>
        <w:tabs>
          <w:tab w:val="num" w:pos="1418"/>
        </w:tabs>
        <w:ind w:left="1418" w:hanging="567"/>
      </w:pPr>
      <w:rPr>
        <w:rFonts w:hint="default"/>
      </w:rPr>
    </w:lvl>
    <w:lvl w:ilvl="6">
      <w:start w:val="1"/>
      <w:numFmt w:val="lowerRoman"/>
      <w:lvlText w:val="(%7)"/>
      <w:lvlJc w:val="left"/>
      <w:pPr>
        <w:tabs>
          <w:tab w:val="num" w:pos="1985"/>
        </w:tabs>
        <w:ind w:left="1985" w:hanging="567"/>
      </w:pPr>
      <w:rPr>
        <w:rFonts w:hint="default"/>
      </w:rPr>
    </w:lvl>
    <w:lvl w:ilvl="7">
      <w:start w:val="1"/>
      <w:numFmt w:val="upperLetter"/>
      <w:lvlText w:val="%8."/>
      <w:lvlJc w:val="left"/>
      <w:pPr>
        <w:tabs>
          <w:tab w:val="num" w:pos="2552"/>
        </w:tabs>
        <w:ind w:left="2552" w:hanging="567"/>
      </w:pPr>
      <w:rPr>
        <w:rFonts w:hint="default"/>
      </w:rPr>
    </w:lvl>
    <w:lvl w:ilvl="8">
      <w:start w:val="1"/>
      <w:numFmt w:val="none"/>
      <w:lvlText w:val=""/>
      <w:lvlJc w:val="left"/>
      <w:pPr>
        <w:tabs>
          <w:tab w:val="num" w:pos="0"/>
        </w:tabs>
        <w:ind w:left="0" w:firstLine="0"/>
      </w:pPr>
      <w:rPr>
        <w:rFonts w:hint="default"/>
      </w:rPr>
    </w:lvl>
  </w:abstractNum>
  <w:abstractNum w:abstractNumId="25" w15:restartNumberingAfterBreak="0">
    <w:nsid w:val="484138FC"/>
    <w:multiLevelType w:val="multilevel"/>
    <w:tmpl w:val="7406A56E"/>
    <w:lvl w:ilvl="0">
      <w:start w:val="1"/>
      <w:numFmt w:val="bullet"/>
      <w:pStyle w:val="TableBullet"/>
      <w:lvlText w:val=""/>
      <w:lvlJc w:val="left"/>
      <w:pPr>
        <w:tabs>
          <w:tab w:val="num" w:pos="227"/>
        </w:tabs>
        <w:ind w:left="227" w:hanging="227"/>
      </w:pPr>
      <w:rPr>
        <w:rFonts w:ascii="Wingdings" w:hAnsi="Wingdings" w:hint="default"/>
        <w:color w:val="auto"/>
        <w:sz w:val="20"/>
        <w:szCs w:val="20"/>
      </w:rPr>
    </w:lvl>
    <w:lvl w:ilvl="1">
      <w:start w:val="1"/>
      <w:numFmt w:val="bullet"/>
      <w:lvlText w:val="–"/>
      <w:lvlJc w:val="left"/>
      <w:pPr>
        <w:tabs>
          <w:tab w:val="num" w:pos="454"/>
        </w:tabs>
        <w:ind w:left="454" w:hanging="227"/>
      </w:pPr>
      <w:rPr>
        <w:rFonts w:ascii="Times" w:hAnsi="Times" w:cs="Times New Roman" w:hint="default"/>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49852532"/>
    <w:multiLevelType w:val="hybridMultilevel"/>
    <w:tmpl w:val="4984CC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4BE95C27"/>
    <w:multiLevelType w:val="hybridMultilevel"/>
    <w:tmpl w:val="512EB1BE"/>
    <w:lvl w:ilvl="0" w:tplc="0C090015">
      <w:start w:val="1"/>
      <w:numFmt w:val="upperLetter"/>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3B35056"/>
    <w:multiLevelType w:val="multilevel"/>
    <w:tmpl w:val="3D6CA1C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9" w15:restartNumberingAfterBreak="0">
    <w:nsid w:val="585A4241"/>
    <w:multiLevelType w:val="hybridMultilevel"/>
    <w:tmpl w:val="19BE0738"/>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A802C4B"/>
    <w:multiLevelType w:val="hybridMultilevel"/>
    <w:tmpl w:val="978C67BC"/>
    <w:lvl w:ilvl="0" w:tplc="284C2E96">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1" w15:restartNumberingAfterBreak="0">
    <w:nsid w:val="5BF34B38"/>
    <w:multiLevelType w:val="hybridMultilevel"/>
    <w:tmpl w:val="CA84C404"/>
    <w:lvl w:ilvl="0" w:tplc="0C09000F">
      <w:start w:val="1"/>
      <w:numFmt w:val="decimal"/>
      <w:lvlText w:val="%1."/>
      <w:lvlJc w:val="left"/>
      <w:pPr>
        <w:ind w:left="1080" w:hanging="360"/>
      </w:pPr>
      <w:rPr>
        <w:rFonts w:hint="default"/>
      </w:rPr>
    </w:lvl>
    <w:lvl w:ilvl="1" w:tplc="0C090001">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5E5774F4"/>
    <w:multiLevelType w:val="hybridMultilevel"/>
    <w:tmpl w:val="FE4C67E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EAE0DCD"/>
    <w:multiLevelType w:val="hybridMultilevel"/>
    <w:tmpl w:val="3F121FC2"/>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5EBA6035"/>
    <w:multiLevelType w:val="hybridMultilevel"/>
    <w:tmpl w:val="13B8C5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EDE36CD"/>
    <w:multiLevelType w:val="hybridMultilevel"/>
    <w:tmpl w:val="13BC836E"/>
    <w:lvl w:ilvl="0" w:tplc="0C090001">
      <w:start w:val="1"/>
      <w:numFmt w:val="bullet"/>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36" w15:restartNumberingAfterBreak="0">
    <w:nsid w:val="60DF2010"/>
    <w:multiLevelType w:val="multilevel"/>
    <w:tmpl w:val="7F28863A"/>
    <w:lvl w:ilvl="0">
      <w:start w:val="1"/>
      <w:numFmt w:val="lowerLetter"/>
      <w:pStyle w:val="TableListLetter"/>
      <w:lvlText w:val="%1)"/>
      <w:lvlJc w:val="left"/>
      <w:pPr>
        <w:tabs>
          <w:tab w:val="num" w:pos="284"/>
        </w:tabs>
        <w:ind w:left="284" w:hanging="284"/>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567"/>
        </w:tabs>
        <w:ind w:left="567"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ind w:left="0" w:firstLine="0"/>
      </w:pPr>
      <w:rPr>
        <w:rFonts w:ascii="Gill Sans MT" w:hAnsi="Gill Sans MT"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0" w:firstLine="0"/>
      </w:pPr>
      <w:rPr>
        <w:rFonts w:ascii="Gill Sans MT" w:hAnsi="Gill Sans MT" w:hint="default"/>
        <w:b w:val="0"/>
        <w:i w:val="0"/>
        <w:color w:val="000000"/>
        <w:sz w:val="20"/>
      </w:rPr>
    </w:lvl>
    <w:lvl w:ilvl="4">
      <w:start w:val="1"/>
      <w:numFmt w:val="none"/>
      <w:suff w:val="nothing"/>
      <w:lvlText w:val=""/>
      <w:lvlJc w:val="left"/>
      <w:pPr>
        <w:ind w:left="0" w:firstLine="0"/>
      </w:pPr>
      <w:rPr>
        <w:rFonts w:hint="default"/>
        <w:b w:val="0"/>
        <w:i w:val="0"/>
        <w:sz w:val="20"/>
      </w:rPr>
    </w:lvl>
    <w:lvl w:ilvl="5">
      <w:start w:val="1"/>
      <w:numFmt w:val="none"/>
      <w:suff w:val="nothing"/>
      <w:lvlText w:val=""/>
      <w:lvlJc w:val="left"/>
      <w:pPr>
        <w:ind w:left="417" w:hanging="360"/>
      </w:pPr>
      <w:rPr>
        <w:rFonts w:hint="default"/>
        <w:color w:val="auto"/>
      </w:rPr>
    </w:lvl>
    <w:lvl w:ilvl="6">
      <w:start w:val="1"/>
      <w:numFmt w:val="none"/>
      <w:suff w:val="nothing"/>
      <w:lvlText w:val=""/>
      <w:lvlJc w:val="left"/>
      <w:pPr>
        <w:ind w:left="777" w:hanging="360"/>
      </w:pPr>
      <w:rPr>
        <w:rFonts w:hint="default"/>
        <w:color w:val="auto"/>
      </w:rPr>
    </w:lvl>
    <w:lvl w:ilvl="7">
      <w:start w:val="1"/>
      <w:numFmt w:val="none"/>
      <w:suff w:val="nothing"/>
      <w:lvlText w:val=""/>
      <w:lvlJc w:val="left"/>
      <w:pPr>
        <w:ind w:left="1137" w:hanging="360"/>
      </w:pPr>
      <w:rPr>
        <w:rFonts w:hint="default"/>
        <w:color w:val="003366"/>
        <w:sz w:val="20"/>
      </w:rPr>
    </w:lvl>
    <w:lvl w:ilvl="8">
      <w:start w:val="1"/>
      <w:numFmt w:val="none"/>
      <w:suff w:val="nothing"/>
      <w:lvlText w:val=""/>
      <w:lvlJc w:val="left"/>
      <w:pPr>
        <w:ind w:left="1497" w:hanging="360"/>
      </w:pPr>
      <w:rPr>
        <w:rFonts w:hint="default"/>
        <w:color w:val="ED7F00"/>
      </w:rPr>
    </w:lvl>
  </w:abstractNum>
  <w:abstractNum w:abstractNumId="37" w15:restartNumberingAfterBreak="0">
    <w:nsid w:val="626C21AA"/>
    <w:multiLevelType w:val="multilevel"/>
    <w:tmpl w:val="55B8D5B8"/>
    <w:lvl w:ilvl="0">
      <w:start w:val="1"/>
      <w:numFmt w:val="bullet"/>
      <w:pStyle w:val="ListBullet0"/>
      <w:lvlText w:val=""/>
      <w:lvlJc w:val="left"/>
      <w:pPr>
        <w:tabs>
          <w:tab w:val="num" w:pos="284"/>
        </w:tabs>
        <w:ind w:left="284" w:hanging="284"/>
      </w:pPr>
      <w:rPr>
        <w:rFonts w:ascii="Wingdings" w:hAnsi="Wingdings" w:hint="default"/>
        <w:b w:val="0"/>
        <w:i w:val="0"/>
        <w:color w:val="000000"/>
        <w:sz w:val="22"/>
      </w:rPr>
    </w:lvl>
    <w:lvl w:ilvl="1">
      <w:start w:val="1"/>
      <w:numFmt w:val="bullet"/>
      <w:lvlText w:val="–"/>
      <w:lvlJc w:val="left"/>
      <w:pPr>
        <w:tabs>
          <w:tab w:val="num" w:pos="567"/>
        </w:tabs>
        <w:ind w:left="567" w:hanging="283"/>
      </w:pPr>
      <w:rPr>
        <w:rFonts w:hint="default"/>
        <w:b w:val="0"/>
        <w:i w:val="0"/>
        <w:color w:val="auto"/>
        <w:sz w:val="22"/>
      </w:rPr>
    </w:lvl>
    <w:lvl w:ilvl="2">
      <w:start w:val="1"/>
      <w:numFmt w:val="bullet"/>
      <w:lvlText w:val="o"/>
      <w:lvlJc w:val="left"/>
      <w:pPr>
        <w:tabs>
          <w:tab w:val="num" w:pos="851"/>
        </w:tabs>
        <w:ind w:left="851" w:hanging="284"/>
      </w:pPr>
      <w:rPr>
        <w:rFonts w:ascii="Courier" w:hAnsi="Courier" w:hint="default"/>
        <w:color w:val="000000"/>
        <w:sz w:val="22"/>
      </w:rPr>
    </w:lvl>
    <w:lvl w:ilvl="3">
      <w:start w:val="1"/>
      <w:numFmt w:val="bullet"/>
      <w:lvlText w:val=""/>
      <w:lvlJc w:val="left"/>
      <w:pPr>
        <w:tabs>
          <w:tab w:val="num" w:pos="1134"/>
        </w:tabs>
        <w:ind w:left="1134" w:hanging="283"/>
      </w:pPr>
      <w:rPr>
        <w:rFonts w:ascii="Wingdings" w:hAnsi="Wingdings" w:hint="default"/>
        <w:b w:val="0"/>
        <w:i w:val="0"/>
        <w:color w:val="auto"/>
        <w:sz w:val="22"/>
      </w:rPr>
    </w:lvl>
    <w:lvl w:ilvl="4">
      <w:start w:val="1"/>
      <w:numFmt w:val="none"/>
      <w:lvlText w:val=""/>
      <w:lvlJc w:val="left"/>
      <w:pPr>
        <w:tabs>
          <w:tab w:val="num" w:pos="-31680"/>
        </w:tabs>
        <w:ind w:left="-32767" w:firstLine="0"/>
      </w:pPr>
      <w:rPr>
        <w:rFonts w:hint="default"/>
        <w:color w:val="5793C9"/>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003366"/>
        <w:sz w:val="20"/>
      </w:rPr>
    </w:lvl>
    <w:lvl w:ilvl="8">
      <w:start w:val="1"/>
      <w:numFmt w:val="none"/>
      <w:suff w:val="nothing"/>
      <w:lvlText w:val=""/>
      <w:lvlJc w:val="left"/>
      <w:pPr>
        <w:ind w:left="0" w:firstLine="0"/>
      </w:pPr>
      <w:rPr>
        <w:rFonts w:hint="default"/>
        <w:color w:val="ED7F00"/>
      </w:rPr>
    </w:lvl>
  </w:abstractNum>
  <w:abstractNum w:abstractNumId="38" w15:restartNumberingAfterBreak="0">
    <w:nsid w:val="64BB3942"/>
    <w:multiLevelType w:val="multilevel"/>
    <w:tmpl w:val="20E68D54"/>
    <w:lvl w:ilvl="0">
      <w:start w:val="1"/>
      <w:numFmt w:val="decimal"/>
      <w:pStyle w:val="AAClauseHeading"/>
      <w:lvlText w:val="%1."/>
      <w:lvlJc w:val="left"/>
      <w:pPr>
        <w:tabs>
          <w:tab w:val="num" w:pos="1701"/>
        </w:tabs>
        <w:ind w:left="1701" w:hanging="567"/>
      </w:pPr>
      <w:rPr>
        <w:rFonts w:ascii="Arial" w:hAnsi="Arial" w:cs="Times New Roman" w:hint="default"/>
        <w:b/>
        <w:i w:val="0"/>
        <w:caps/>
        <w:sz w:val="28"/>
        <w:u w:val="none"/>
      </w:rPr>
    </w:lvl>
    <w:lvl w:ilvl="1">
      <w:start w:val="1"/>
      <w:numFmt w:val="decimal"/>
      <w:pStyle w:val="AASubclause"/>
      <w:lvlText w:val="%1.%2"/>
      <w:lvlJc w:val="left"/>
      <w:pPr>
        <w:tabs>
          <w:tab w:val="num" w:pos="1701"/>
        </w:tabs>
        <w:ind w:left="1701" w:hanging="567"/>
      </w:pPr>
      <w:rPr>
        <w:rFonts w:ascii="Arial" w:hAnsi="Arial" w:cs="Times New Roman" w:hint="default"/>
        <w:b/>
        <w:i w:val="0"/>
        <w:sz w:val="24"/>
        <w:u w:val="none"/>
      </w:rPr>
    </w:lvl>
    <w:lvl w:ilvl="2">
      <w:start w:val="1"/>
      <w:numFmt w:val="lowerLetter"/>
      <w:pStyle w:val="AAParaaChar"/>
      <w:lvlText w:val="(%3)"/>
      <w:lvlJc w:val="left"/>
      <w:pPr>
        <w:tabs>
          <w:tab w:val="num" w:pos="2268"/>
        </w:tabs>
        <w:ind w:left="2268" w:hanging="567"/>
      </w:pPr>
      <w:rPr>
        <w:rFonts w:ascii="Times New Roman" w:hAnsi="Times New Roman" w:cs="Times New Roman" w:hint="default"/>
        <w:b w:val="0"/>
        <w:i w:val="0"/>
        <w:u w:val="none"/>
      </w:rPr>
    </w:lvl>
    <w:lvl w:ilvl="3">
      <w:start w:val="1"/>
      <w:numFmt w:val="lowerRoman"/>
      <w:pStyle w:val="AAsubparai"/>
      <w:lvlText w:val="(%4)"/>
      <w:lvlJc w:val="left"/>
      <w:pPr>
        <w:tabs>
          <w:tab w:val="num" w:pos="2835"/>
        </w:tabs>
        <w:ind w:left="2835" w:hanging="567"/>
      </w:pPr>
      <w:rPr>
        <w:rFonts w:cs="Times New Roman" w:hint="default"/>
        <w:u w:val="none"/>
      </w:rPr>
    </w:lvl>
    <w:lvl w:ilvl="4">
      <w:start w:val="1"/>
      <w:numFmt w:val="lowerLetter"/>
      <w:pStyle w:val="AAsubsubparaa"/>
      <w:lvlText w:val="%5."/>
      <w:lvlJc w:val="left"/>
      <w:pPr>
        <w:tabs>
          <w:tab w:val="num" w:pos="3402"/>
        </w:tabs>
        <w:ind w:left="3402" w:hanging="510"/>
      </w:pPr>
      <w:rPr>
        <w:rFonts w:ascii="Times New Roman" w:hAnsi="Times New Roman" w:cs="Times New Roman" w:hint="default"/>
        <w:b w:val="0"/>
        <w:i w:val="0"/>
        <w:caps w:val="0"/>
        <w:sz w:val="24"/>
        <w:szCs w:val="24"/>
        <w:u w:val="none"/>
      </w:rPr>
    </w:lvl>
    <w:lvl w:ilvl="5">
      <w:start w:val="1"/>
      <w:numFmt w:val="decimal"/>
      <w:lvlText w:val="%6)"/>
      <w:lvlJc w:val="left"/>
      <w:pPr>
        <w:tabs>
          <w:tab w:val="num" w:pos="4820"/>
        </w:tabs>
        <w:ind w:left="4820" w:hanging="964"/>
      </w:pPr>
      <w:rPr>
        <w:rFonts w:cs="Times New Roman" w:hint="default"/>
        <w:b w:val="0"/>
        <w:i w:val="0"/>
        <w:u w:val="none"/>
      </w:rPr>
    </w:lvl>
    <w:lvl w:ilvl="6">
      <w:start w:val="1"/>
      <w:numFmt w:val="lowerLetter"/>
      <w:lvlText w:val="%7)"/>
      <w:lvlJc w:val="left"/>
      <w:pPr>
        <w:tabs>
          <w:tab w:val="num" w:pos="5783"/>
        </w:tabs>
        <w:ind w:left="5783" w:hanging="963"/>
      </w:pPr>
      <w:rPr>
        <w:rFonts w:cs="Times New Roman" w:hint="default"/>
        <w:b w:val="0"/>
        <w:i w:val="0"/>
        <w:u w:val="none"/>
      </w:rPr>
    </w:lvl>
    <w:lvl w:ilvl="7">
      <w:start w:val="1"/>
      <w:numFmt w:val="lowerRoman"/>
      <w:lvlText w:val="%8)"/>
      <w:lvlJc w:val="left"/>
      <w:pPr>
        <w:tabs>
          <w:tab w:val="num" w:pos="6747"/>
        </w:tabs>
        <w:ind w:left="6747" w:hanging="964"/>
      </w:pPr>
      <w:rPr>
        <w:rFonts w:cs="Times New Roman" w:hint="default"/>
        <w:b w:val="0"/>
        <w:i w:val="0"/>
        <w:u w:val="none"/>
      </w:rPr>
    </w:lvl>
    <w:lvl w:ilvl="8">
      <w:start w:val="1"/>
      <w:numFmt w:val="none"/>
      <w:lvlRestart w:val="0"/>
      <w:suff w:val="nothing"/>
      <w:lvlText w:val=""/>
      <w:lvlJc w:val="left"/>
      <w:pPr>
        <w:ind w:left="0" w:firstLine="0"/>
      </w:pPr>
      <w:rPr>
        <w:rFonts w:cs="Times New Roman" w:hint="default"/>
      </w:rPr>
    </w:lvl>
  </w:abstractNum>
  <w:abstractNum w:abstractNumId="39" w15:restartNumberingAfterBreak="0">
    <w:nsid w:val="65A948A3"/>
    <w:multiLevelType w:val="hybridMultilevel"/>
    <w:tmpl w:val="7068AEF2"/>
    <w:lvl w:ilvl="0" w:tplc="12AE195A">
      <w:start w:val="1"/>
      <w:numFmt w:val="upperLetter"/>
      <w:lvlText w:val="%1."/>
      <w:lvlJc w:val="left"/>
      <w:pPr>
        <w:ind w:left="1080" w:hanging="360"/>
      </w:pPr>
      <w:rPr>
        <w:rFonts w:hint="default"/>
        <w:sz w:val="20"/>
        <w:szCs w:val="20"/>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5F82DD8"/>
    <w:multiLevelType w:val="multilevel"/>
    <w:tmpl w:val="EC226ADE"/>
    <w:lvl w:ilvl="0">
      <w:start w:val="1"/>
      <w:numFmt w:val="decimal"/>
      <w:pStyle w:val="NoHeading1"/>
      <w:lvlText w:val="%1."/>
      <w:lvlJc w:val="left"/>
      <w:pPr>
        <w:tabs>
          <w:tab w:val="num" w:pos="851"/>
        </w:tabs>
        <w:ind w:left="851" w:hanging="851"/>
      </w:pPr>
      <w:rPr>
        <w:rFonts w:hint="default"/>
        <w:b/>
        <w:i w:val="0"/>
        <w:color w:val="304F92"/>
        <w:sz w:val="36"/>
        <w:szCs w:val="22"/>
      </w:rPr>
    </w:lvl>
    <w:lvl w:ilvl="1">
      <w:start w:val="1"/>
      <w:numFmt w:val="decimal"/>
      <w:pStyle w:val="NoHeading2"/>
      <w:lvlText w:val="%1.%2"/>
      <w:lvlJc w:val="left"/>
      <w:pPr>
        <w:tabs>
          <w:tab w:val="num" w:pos="851"/>
        </w:tabs>
        <w:ind w:left="851" w:hanging="851"/>
      </w:pPr>
      <w:rPr>
        <w:rFonts w:hint="default"/>
        <w:b/>
        <w:i w:val="0"/>
        <w:color w:val="4A757F"/>
        <w:sz w:val="32"/>
      </w:rPr>
    </w:lvl>
    <w:lvl w:ilvl="2">
      <w:start w:val="1"/>
      <w:numFmt w:val="decimal"/>
      <w:pStyle w:val="NoHeading3"/>
      <w:lvlText w:val="%1.%2.%3"/>
      <w:lvlJc w:val="left"/>
      <w:pPr>
        <w:tabs>
          <w:tab w:val="num" w:pos="851"/>
        </w:tabs>
        <w:ind w:left="851" w:hanging="851"/>
      </w:pPr>
      <w:rPr>
        <w:rFonts w:hint="default"/>
        <w:b/>
        <w:i w:val="0"/>
        <w:color w:val="0F9AA1"/>
        <w:sz w:val="28"/>
        <w:szCs w:val="22"/>
      </w:rPr>
    </w:lvl>
    <w:lvl w:ilvl="3">
      <w:start w:val="1"/>
      <w:numFmt w:val="decimal"/>
      <w:lvlRestart w:val="0"/>
      <w:pStyle w:val="FigureRef"/>
      <w:lvlText w:val="Figure %4"/>
      <w:lvlJc w:val="left"/>
      <w:pPr>
        <w:tabs>
          <w:tab w:val="num" w:pos="1418"/>
        </w:tabs>
        <w:ind w:left="1418" w:hanging="1418"/>
      </w:pPr>
      <w:rPr>
        <w:rFonts w:hint="default"/>
        <w:b/>
        <w:i w:val="0"/>
        <w:color w:val="auto"/>
        <w:sz w:val="20"/>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pStyle w:val="ListNumber"/>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41" w15:restartNumberingAfterBreak="0">
    <w:nsid w:val="66F64444"/>
    <w:multiLevelType w:val="hybridMultilevel"/>
    <w:tmpl w:val="F1FA8E00"/>
    <w:lvl w:ilvl="0" w:tplc="0C090015">
      <w:start w:val="1"/>
      <w:numFmt w:val="upperLetter"/>
      <w:lvlText w:val="%1."/>
      <w:lvlJc w:val="left"/>
      <w:pPr>
        <w:ind w:left="1440" w:hanging="360"/>
      </w:p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15:restartNumberingAfterBreak="0">
    <w:nsid w:val="68246A07"/>
    <w:multiLevelType w:val="hybridMultilevel"/>
    <w:tmpl w:val="F52C30D8"/>
    <w:lvl w:ilvl="0" w:tplc="5F20A6FC">
      <w:start w:val="1"/>
      <w:numFmt w:val="decimal"/>
      <w:lvlText w:val="%1."/>
      <w:lvlJc w:val="left"/>
      <w:pPr>
        <w:ind w:left="360" w:hanging="360"/>
      </w:pPr>
      <w:rPr>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15:restartNumberingAfterBreak="0">
    <w:nsid w:val="6AFD4763"/>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768102AB"/>
    <w:multiLevelType w:val="multilevel"/>
    <w:tmpl w:val="EA349126"/>
    <w:lvl w:ilvl="0">
      <w:start w:val="1"/>
      <w:numFmt w:val="decimal"/>
      <w:pStyle w:val="AppendixHeading"/>
      <w:suff w:val="nothing"/>
      <w:lvlText w:val="Appendix %1"/>
      <w:lvlJc w:val="left"/>
      <w:rPr>
        <w:rFonts w:ascii="Arial Bold" w:hAnsi="Arial Bold" w:cs="Arial Bold" w:hint="default"/>
        <w:b/>
        <w:bCs/>
        <w:i w:val="0"/>
        <w:iCs w:val="0"/>
        <w:sz w:val="20"/>
        <w:szCs w:val="20"/>
      </w:rPr>
    </w:lvl>
    <w:lvl w:ilvl="1">
      <w:start w:val="1"/>
      <w:numFmt w:val="none"/>
      <w:pStyle w:val="AppendixSubheading"/>
      <w:lvlText w:val=""/>
      <w:lvlJc w:val="left"/>
      <w:rPr>
        <w:rFonts w:ascii="Arial Bold" w:hAnsi="Arial Bold" w:cs="Arial Bold" w:hint="default"/>
        <w:b/>
        <w:bCs/>
        <w:i w:val="0"/>
        <w:iCs w:val="0"/>
        <w:sz w:val="20"/>
        <w:szCs w:val="20"/>
      </w:rPr>
    </w:lvl>
    <w:lvl w:ilvl="2">
      <w:start w:val="1"/>
      <w:numFmt w:val="decimal"/>
      <w:pStyle w:val="AppendixItem"/>
      <w:suff w:val="nothing"/>
      <w:lvlText w:val="Item %3"/>
      <w:lvlJc w:val="left"/>
      <w:pPr>
        <w:ind w:left="1134" w:hanging="1134"/>
      </w:pPr>
      <w:rPr>
        <w:rFonts w:ascii="Arial Bold" w:hAnsi="Arial Bold" w:cs="Arial Bold" w:hint="default"/>
        <w:b/>
        <w:bCs/>
        <w:i w:val="0"/>
        <w:iCs w:val="0"/>
        <w:sz w:val="24"/>
        <w:szCs w:val="24"/>
      </w:rPr>
    </w:lvl>
    <w:lvl w:ilvl="3">
      <w:start w:val="1"/>
      <w:numFmt w:val="lowerLetter"/>
      <w:pStyle w:val="AppendixNumberedText1"/>
      <w:lvlText w:val="(%4)"/>
      <w:lvlJc w:val="left"/>
      <w:pPr>
        <w:tabs>
          <w:tab w:val="num" w:pos="567"/>
        </w:tabs>
        <w:ind w:left="567" w:hanging="567"/>
      </w:pPr>
      <w:rPr>
        <w:rFonts w:ascii="Arial Bold" w:hAnsi="Arial Bold" w:cs="Arial Bold" w:hint="default"/>
        <w:b/>
        <w:bCs/>
        <w:i w:val="0"/>
        <w:iCs w:val="0"/>
        <w:sz w:val="20"/>
        <w:szCs w:val="20"/>
      </w:rPr>
    </w:lvl>
    <w:lvl w:ilvl="4">
      <w:start w:val="1"/>
      <w:numFmt w:val="lowerRoman"/>
      <w:pStyle w:val="AppendixNumberedText2"/>
      <w:lvlText w:val="%5)"/>
      <w:lvlJc w:val="left"/>
      <w:pPr>
        <w:tabs>
          <w:tab w:val="num" w:pos="1134"/>
        </w:tabs>
        <w:ind w:left="1134" w:hanging="567"/>
      </w:pPr>
      <w:rPr>
        <w:rFonts w:ascii="Arial" w:hAnsi="Arial" w:cs="Arial" w:hint="default"/>
        <w:b w:val="0"/>
        <w:bCs w:val="0"/>
        <w:i w:val="0"/>
        <w:iCs w:val="0"/>
        <w:sz w:val="20"/>
        <w:szCs w:val="20"/>
      </w:rPr>
    </w:lvl>
    <w:lvl w:ilvl="5">
      <w:start w:val="1"/>
      <w:numFmt w:val="none"/>
      <w:lvlText w:val=""/>
      <w:lvlJc w:val="left"/>
      <w:rPr>
        <w:rFonts w:ascii="Arial Bold" w:hAnsi="Arial Bold" w:cs="Arial Bold" w:hint="default"/>
        <w:b/>
        <w:bCs/>
        <w:i w:val="0"/>
        <w:iCs w:val="0"/>
        <w:sz w:val="20"/>
        <w:szCs w:val="20"/>
      </w:rPr>
    </w:lvl>
    <w:lvl w:ilvl="6">
      <w:start w:val="1"/>
      <w:numFmt w:val="none"/>
      <w:lvlText w:val=""/>
      <w:lvlJc w:val="left"/>
      <w:pPr>
        <w:tabs>
          <w:tab w:val="num" w:pos="4680"/>
        </w:tabs>
        <w:ind w:left="3240" w:hanging="1080"/>
      </w:pPr>
      <w:rPr>
        <w:rFonts w:cs="Times New Roman" w:hint="default"/>
      </w:rPr>
    </w:lvl>
    <w:lvl w:ilvl="7">
      <w:start w:val="1"/>
      <w:numFmt w:val="none"/>
      <w:lvlText w:val=""/>
      <w:lvlJc w:val="left"/>
      <w:pPr>
        <w:tabs>
          <w:tab w:val="num" w:pos="5400"/>
        </w:tabs>
        <w:ind w:left="3744" w:hanging="1224"/>
      </w:pPr>
      <w:rPr>
        <w:rFonts w:cs="Times New Roman" w:hint="default"/>
      </w:rPr>
    </w:lvl>
    <w:lvl w:ilvl="8">
      <w:start w:val="1"/>
      <w:numFmt w:val="none"/>
      <w:lvlText w:val=""/>
      <w:lvlJc w:val="left"/>
      <w:pPr>
        <w:tabs>
          <w:tab w:val="num" w:pos="6120"/>
        </w:tabs>
        <w:ind w:left="4320" w:hanging="1440"/>
      </w:pPr>
      <w:rPr>
        <w:rFonts w:cs="Times New Roman" w:hint="default"/>
      </w:rPr>
    </w:lvl>
  </w:abstractNum>
  <w:abstractNum w:abstractNumId="45" w15:restartNumberingAfterBreak="0">
    <w:nsid w:val="76C66E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6" w15:restartNumberingAfterBreak="0">
    <w:nsid w:val="78854AAC"/>
    <w:multiLevelType w:val="hybridMultilevel"/>
    <w:tmpl w:val="6D84E964"/>
    <w:lvl w:ilvl="0" w:tplc="08A60E72">
      <w:start w:val="1"/>
      <w:numFmt w:val="decimal"/>
      <w:pStyle w:val="Normalnumbered"/>
      <w:lvlText w:val="%1."/>
      <w:lvlJc w:val="left"/>
      <w:pPr>
        <w:tabs>
          <w:tab w:val="num" w:pos="567"/>
        </w:tabs>
        <w:ind w:left="567" w:hanging="567"/>
      </w:pPr>
      <w:rPr>
        <w:rFonts w:ascii="Corbel" w:hAnsi="Corbel" w:cs="Tahoma" w:hint="default"/>
        <w:sz w:val="23"/>
        <w:szCs w:val="23"/>
      </w:rPr>
    </w:lvl>
    <w:lvl w:ilvl="1" w:tplc="A69C41FE">
      <w:start w:val="1"/>
      <w:numFmt w:val="lowerLetter"/>
      <w:lvlText w:val="%2."/>
      <w:lvlJc w:val="left"/>
      <w:pPr>
        <w:tabs>
          <w:tab w:val="num" w:pos="1440"/>
        </w:tabs>
        <w:ind w:left="1440" w:hanging="360"/>
      </w:pPr>
      <w:rPr>
        <w:rFonts w:cs="Times New Roman"/>
        <w:color w:val="auto"/>
        <w:sz w:val="22"/>
        <w:szCs w:val="22"/>
      </w:rPr>
    </w:lvl>
    <w:lvl w:ilvl="2" w:tplc="0E96E850">
      <w:start w:val="1"/>
      <w:numFmt w:val="lowerRoman"/>
      <w:lvlText w:val="%3."/>
      <w:lvlJc w:val="right"/>
      <w:pPr>
        <w:tabs>
          <w:tab w:val="num" w:pos="2160"/>
        </w:tabs>
        <w:ind w:left="2160" w:hanging="180"/>
      </w:pPr>
      <w:rPr>
        <w:rFonts w:cs="Times New Roman"/>
        <w:i w:val="0"/>
      </w:rPr>
    </w:lvl>
    <w:lvl w:ilvl="3" w:tplc="0AF22446">
      <w:start w:val="1"/>
      <w:numFmt w:val="decimal"/>
      <w:lvlText w:val="%4."/>
      <w:lvlJc w:val="left"/>
      <w:pPr>
        <w:tabs>
          <w:tab w:val="num" w:pos="2880"/>
        </w:tabs>
        <w:ind w:left="2880" w:hanging="360"/>
      </w:pPr>
      <w:rPr>
        <w:rFonts w:cs="Times New Roman"/>
      </w:rPr>
    </w:lvl>
    <w:lvl w:ilvl="4" w:tplc="EAC88C42">
      <w:start w:val="1"/>
      <w:numFmt w:val="lowerRoman"/>
      <w:lvlText w:val="%5."/>
      <w:lvlJc w:val="left"/>
      <w:pPr>
        <w:ind w:left="3960" w:hanging="720"/>
      </w:pPr>
      <w:rPr>
        <w:rFonts w:cs="Times New Roman" w:hint="default"/>
      </w:rPr>
    </w:lvl>
    <w:lvl w:ilvl="5" w:tplc="551805A2" w:tentative="1">
      <w:start w:val="1"/>
      <w:numFmt w:val="lowerRoman"/>
      <w:lvlText w:val="%6."/>
      <w:lvlJc w:val="right"/>
      <w:pPr>
        <w:tabs>
          <w:tab w:val="num" w:pos="4320"/>
        </w:tabs>
        <w:ind w:left="4320" w:hanging="180"/>
      </w:pPr>
      <w:rPr>
        <w:rFonts w:cs="Times New Roman"/>
      </w:rPr>
    </w:lvl>
    <w:lvl w:ilvl="6" w:tplc="57BAE540" w:tentative="1">
      <w:start w:val="1"/>
      <w:numFmt w:val="decimal"/>
      <w:lvlText w:val="%7."/>
      <w:lvlJc w:val="left"/>
      <w:pPr>
        <w:tabs>
          <w:tab w:val="num" w:pos="5040"/>
        </w:tabs>
        <w:ind w:left="5040" w:hanging="360"/>
      </w:pPr>
      <w:rPr>
        <w:rFonts w:cs="Times New Roman"/>
      </w:rPr>
    </w:lvl>
    <w:lvl w:ilvl="7" w:tplc="47FE35A2" w:tentative="1">
      <w:start w:val="1"/>
      <w:numFmt w:val="lowerLetter"/>
      <w:lvlText w:val="%8."/>
      <w:lvlJc w:val="left"/>
      <w:pPr>
        <w:tabs>
          <w:tab w:val="num" w:pos="5760"/>
        </w:tabs>
        <w:ind w:left="5760" w:hanging="360"/>
      </w:pPr>
      <w:rPr>
        <w:rFonts w:cs="Times New Roman"/>
      </w:rPr>
    </w:lvl>
    <w:lvl w:ilvl="8" w:tplc="F2F40350" w:tentative="1">
      <w:start w:val="1"/>
      <w:numFmt w:val="lowerRoman"/>
      <w:lvlText w:val="%9."/>
      <w:lvlJc w:val="right"/>
      <w:pPr>
        <w:tabs>
          <w:tab w:val="num" w:pos="6480"/>
        </w:tabs>
        <w:ind w:left="6480" w:hanging="180"/>
      </w:pPr>
      <w:rPr>
        <w:rFonts w:cs="Times New Roman"/>
      </w:rPr>
    </w:lvl>
  </w:abstractNum>
  <w:abstractNum w:abstractNumId="47" w15:restartNumberingAfterBreak="0">
    <w:nsid w:val="79087D18"/>
    <w:multiLevelType w:val="multilevel"/>
    <w:tmpl w:val="77F8BF44"/>
    <w:lvl w:ilvl="0">
      <w:start w:val="1"/>
      <w:numFmt w:val="decimal"/>
      <w:pStyle w:val="Header1policy"/>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8" w15:restartNumberingAfterBreak="0">
    <w:nsid w:val="7A4A2BB9"/>
    <w:multiLevelType w:val="hybridMultilevel"/>
    <w:tmpl w:val="121C36D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E0F5F26"/>
    <w:multiLevelType w:val="multilevel"/>
    <w:tmpl w:val="7FFA377C"/>
    <w:lvl w:ilvl="0">
      <w:start w:val="1"/>
      <w:numFmt w:val="upperLetter"/>
      <w:pStyle w:val="AppendixH1"/>
      <w:suff w:val="nothing"/>
      <w:lvlText w:val="Schedule %1"/>
      <w:lvlJc w:val="left"/>
      <w:pPr>
        <w:ind w:left="0" w:firstLine="0"/>
      </w:pPr>
      <w:rPr>
        <w:rFonts w:ascii="Arial" w:hAnsi="Arial" w:hint="default"/>
        <w:color w:val="auto"/>
        <w:sz w:val="32"/>
        <w:szCs w:val="32"/>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suff w:val="nothing"/>
      <w:lvlText w:val=""/>
      <w:lvlJc w:val="left"/>
      <w:pPr>
        <w:ind w:left="-851" w:firstLine="0"/>
      </w:pPr>
      <w:rPr>
        <w:rFonts w:hint="default"/>
        <w:color w:val="76787B"/>
      </w:rPr>
    </w:lvl>
    <w:lvl w:ilvl="4">
      <w:start w:val="1"/>
      <w:numFmt w:val="none"/>
      <w:suff w:val="nothing"/>
      <w:lvlText w:val=""/>
      <w:lvlJc w:val="left"/>
      <w:pPr>
        <w:ind w:left="-851" w:firstLine="0"/>
      </w:pPr>
      <w:rPr>
        <w:rFonts w:hint="default"/>
      </w:rPr>
    </w:lvl>
    <w:lvl w:ilvl="5">
      <w:start w:val="1"/>
      <w:numFmt w:val="none"/>
      <w:suff w:val="nothing"/>
      <w:lvlText w:val=""/>
      <w:lvlJc w:val="left"/>
      <w:pPr>
        <w:ind w:left="-851" w:firstLine="0"/>
      </w:pPr>
      <w:rPr>
        <w:rFonts w:hint="default"/>
      </w:rPr>
    </w:lvl>
    <w:lvl w:ilvl="6">
      <w:start w:val="1"/>
      <w:numFmt w:val="none"/>
      <w:suff w:val="nothing"/>
      <w:lvlText w:val=""/>
      <w:lvlJc w:val="left"/>
      <w:pPr>
        <w:ind w:left="-851" w:firstLine="0"/>
      </w:pPr>
      <w:rPr>
        <w:rFonts w:hint="default"/>
        <w:sz w:val="18"/>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50" w15:restartNumberingAfterBreak="0">
    <w:nsid w:val="7F523FFD"/>
    <w:multiLevelType w:val="hybridMultilevel"/>
    <w:tmpl w:val="245C5728"/>
    <w:lvl w:ilvl="0" w:tplc="05F02E2C">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8"/>
  </w:num>
  <w:num w:numId="2">
    <w:abstractNumId w:val="24"/>
  </w:num>
  <w:num w:numId="3">
    <w:abstractNumId w:val="45"/>
  </w:num>
  <w:num w:numId="4">
    <w:abstractNumId w:val="9"/>
  </w:num>
  <w:num w:numId="5">
    <w:abstractNumId w:val="43"/>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9"/>
  </w:num>
  <w:num w:numId="15">
    <w:abstractNumId w:val="37"/>
  </w:num>
  <w:num w:numId="16">
    <w:abstractNumId w:val="40"/>
  </w:num>
  <w:num w:numId="17">
    <w:abstractNumId w:val="25"/>
  </w:num>
  <w:num w:numId="18">
    <w:abstractNumId w:val="36"/>
  </w:num>
  <w:num w:numId="19">
    <w:abstractNumId w:val="22"/>
  </w:num>
  <w:num w:numId="20">
    <w:abstractNumId w:val="49"/>
  </w:num>
  <w:num w:numId="21">
    <w:abstractNumId w:val="20"/>
  </w:num>
  <w:num w:numId="22">
    <w:abstractNumId w:val="8"/>
  </w:num>
  <w:num w:numId="23">
    <w:abstractNumId w:val="42"/>
  </w:num>
  <w:num w:numId="24">
    <w:abstractNumId w:val="38"/>
  </w:num>
  <w:num w:numId="25">
    <w:abstractNumId w:val="13"/>
  </w:num>
  <w:num w:numId="26">
    <w:abstractNumId w:val="14"/>
  </w:num>
  <w:num w:numId="27">
    <w:abstractNumId w:val="47"/>
  </w:num>
  <w:num w:numId="28">
    <w:abstractNumId w:val="34"/>
  </w:num>
  <w:num w:numId="29">
    <w:abstractNumId w:val="46"/>
  </w:num>
  <w:num w:numId="30">
    <w:abstractNumId w:val="44"/>
  </w:num>
  <w:num w:numId="31">
    <w:abstractNumId w:val="23"/>
  </w:num>
  <w:num w:numId="32">
    <w:abstractNumId w:val="26"/>
  </w:num>
  <w:num w:numId="33">
    <w:abstractNumId w:val="15"/>
  </w:num>
  <w:num w:numId="34">
    <w:abstractNumId w:val="35"/>
  </w:num>
  <w:num w:numId="35">
    <w:abstractNumId w:val="16"/>
  </w:num>
  <w:num w:numId="36">
    <w:abstractNumId w:val="12"/>
  </w:num>
  <w:num w:numId="37">
    <w:abstractNumId w:val="18"/>
  </w:num>
  <w:num w:numId="38">
    <w:abstractNumId w:val="10"/>
  </w:num>
  <w:num w:numId="39">
    <w:abstractNumId w:val="41"/>
  </w:num>
  <w:num w:numId="40">
    <w:abstractNumId w:val="39"/>
  </w:num>
  <w:num w:numId="41">
    <w:abstractNumId w:val="48"/>
  </w:num>
  <w:num w:numId="42">
    <w:abstractNumId w:val="32"/>
  </w:num>
  <w:num w:numId="43">
    <w:abstractNumId w:val="29"/>
  </w:num>
  <w:num w:numId="44">
    <w:abstractNumId w:val="27"/>
  </w:num>
  <w:num w:numId="45">
    <w:abstractNumId w:val="21"/>
  </w:num>
  <w:num w:numId="46">
    <w:abstractNumId w:val="33"/>
  </w:num>
  <w:num w:numId="47">
    <w:abstractNumId w:val="3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num>
  <w:num w:numId="50">
    <w:abstractNumId w:val="17"/>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0"/>
  <w:defaultTabStop w:val="720"/>
  <w:clickAndTypeStyle w:val="Date"/>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50"/>
    <w:rsid w:val="00002875"/>
    <w:rsid w:val="00003033"/>
    <w:rsid w:val="0000348F"/>
    <w:rsid w:val="000064FE"/>
    <w:rsid w:val="0001295C"/>
    <w:rsid w:val="000140C9"/>
    <w:rsid w:val="00015349"/>
    <w:rsid w:val="000169CF"/>
    <w:rsid w:val="00020076"/>
    <w:rsid w:val="00026CDD"/>
    <w:rsid w:val="00031433"/>
    <w:rsid w:val="000321F2"/>
    <w:rsid w:val="000423A2"/>
    <w:rsid w:val="00043A54"/>
    <w:rsid w:val="00043E73"/>
    <w:rsid w:val="0004472A"/>
    <w:rsid w:val="00045567"/>
    <w:rsid w:val="00045A69"/>
    <w:rsid w:val="00046ADD"/>
    <w:rsid w:val="000479CA"/>
    <w:rsid w:val="00050CA0"/>
    <w:rsid w:val="00052E50"/>
    <w:rsid w:val="00053EE1"/>
    <w:rsid w:val="00056A05"/>
    <w:rsid w:val="00056F6D"/>
    <w:rsid w:val="00057CC5"/>
    <w:rsid w:val="000626D3"/>
    <w:rsid w:val="00062C02"/>
    <w:rsid w:val="00074659"/>
    <w:rsid w:val="00075976"/>
    <w:rsid w:val="000764DB"/>
    <w:rsid w:val="000765BD"/>
    <w:rsid w:val="000802A7"/>
    <w:rsid w:val="000804F9"/>
    <w:rsid w:val="000816BE"/>
    <w:rsid w:val="000831EA"/>
    <w:rsid w:val="00090115"/>
    <w:rsid w:val="00090185"/>
    <w:rsid w:val="00090448"/>
    <w:rsid w:val="0009399E"/>
    <w:rsid w:val="00096563"/>
    <w:rsid w:val="000972D2"/>
    <w:rsid w:val="000A2B22"/>
    <w:rsid w:val="000A3C7B"/>
    <w:rsid w:val="000A7F97"/>
    <w:rsid w:val="000B1A79"/>
    <w:rsid w:val="000B1E1F"/>
    <w:rsid w:val="000B2C2A"/>
    <w:rsid w:val="000B3458"/>
    <w:rsid w:val="000B3E18"/>
    <w:rsid w:val="000B4B07"/>
    <w:rsid w:val="000B7FB2"/>
    <w:rsid w:val="000C0B68"/>
    <w:rsid w:val="000C5E83"/>
    <w:rsid w:val="000C5EBB"/>
    <w:rsid w:val="000C5FAF"/>
    <w:rsid w:val="000C617C"/>
    <w:rsid w:val="000D0CFC"/>
    <w:rsid w:val="000D2663"/>
    <w:rsid w:val="000D3643"/>
    <w:rsid w:val="000D3D8B"/>
    <w:rsid w:val="000D70C4"/>
    <w:rsid w:val="000D79C2"/>
    <w:rsid w:val="000E181D"/>
    <w:rsid w:val="000E23A5"/>
    <w:rsid w:val="000E3E13"/>
    <w:rsid w:val="000E4E21"/>
    <w:rsid w:val="000F1B1D"/>
    <w:rsid w:val="000F1EBE"/>
    <w:rsid w:val="000F2295"/>
    <w:rsid w:val="000F2BD8"/>
    <w:rsid w:val="000F5294"/>
    <w:rsid w:val="000F52AB"/>
    <w:rsid w:val="000F67CE"/>
    <w:rsid w:val="000F7CBA"/>
    <w:rsid w:val="001008F7"/>
    <w:rsid w:val="00100B5B"/>
    <w:rsid w:val="00100F11"/>
    <w:rsid w:val="00102050"/>
    <w:rsid w:val="001037B8"/>
    <w:rsid w:val="001116C4"/>
    <w:rsid w:val="00112543"/>
    <w:rsid w:val="00112D5A"/>
    <w:rsid w:val="00120F5D"/>
    <w:rsid w:val="00122AD0"/>
    <w:rsid w:val="00122F74"/>
    <w:rsid w:val="0012507D"/>
    <w:rsid w:val="00127554"/>
    <w:rsid w:val="00131413"/>
    <w:rsid w:val="00132EB2"/>
    <w:rsid w:val="00136929"/>
    <w:rsid w:val="00137542"/>
    <w:rsid w:val="00137F27"/>
    <w:rsid w:val="001466AD"/>
    <w:rsid w:val="001471F0"/>
    <w:rsid w:val="001476BA"/>
    <w:rsid w:val="00150440"/>
    <w:rsid w:val="00153F1A"/>
    <w:rsid w:val="001543C3"/>
    <w:rsid w:val="001552F8"/>
    <w:rsid w:val="001577C7"/>
    <w:rsid w:val="00157C3F"/>
    <w:rsid w:val="00163ACB"/>
    <w:rsid w:val="0016454E"/>
    <w:rsid w:val="00164E96"/>
    <w:rsid w:val="00165F81"/>
    <w:rsid w:val="0017237E"/>
    <w:rsid w:val="00174A33"/>
    <w:rsid w:val="00174DCE"/>
    <w:rsid w:val="001766C8"/>
    <w:rsid w:val="00176AEC"/>
    <w:rsid w:val="0017738A"/>
    <w:rsid w:val="0018004C"/>
    <w:rsid w:val="00180310"/>
    <w:rsid w:val="001809CC"/>
    <w:rsid w:val="001818C1"/>
    <w:rsid w:val="0018310D"/>
    <w:rsid w:val="00185E34"/>
    <w:rsid w:val="0018645A"/>
    <w:rsid w:val="00191FE8"/>
    <w:rsid w:val="00192604"/>
    <w:rsid w:val="0019633B"/>
    <w:rsid w:val="001970A2"/>
    <w:rsid w:val="001A19E8"/>
    <w:rsid w:val="001A2419"/>
    <w:rsid w:val="001A38DE"/>
    <w:rsid w:val="001A56DE"/>
    <w:rsid w:val="001A588D"/>
    <w:rsid w:val="001A7003"/>
    <w:rsid w:val="001B09DE"/>
    <w:rsid w:val="001B0B9D"/>
    <w:rsid w:val="001B222E"/>
    <w:rsid w:val="001B6104"/>
    <w:rsid w:val="001B68F5"/>
    <w:rsid w:val="001C0122"/>
    <w:rsid w:val="001C09DE"/>
    <w:rsid w:val="001C1842"/>
    <w:rsid w:val="001C1D42"/>
    <w:rsid w:val="001C3030"/>
    <w:rsid w:val="001C4DB6"/>
    <w:rsid w:val="001C76BD"/>
    <w:rsid w:val="001D34D9"/>
    <w:rsid w:val="001D5302"/>
    <w:rsid w:val="001D6B87"/>
    <w:rsid w:val="001E2050"/>
    <w:rsid w:val="001E3B9F"/>
    <w:rsid w:val="001E4B8C"/>
    <w:rsid w:val="001F16B0"/>
    <w:rsid w:val="001F49FF"/>
    <w:rsid w:val="001F775A"/>
    <w:rsid w:val="00200894"/>
    <w:rsid w:val="0020353B"/>
    <w:rsid w:val="002040F5"/>
    <w:rsid w:val="00204C07"/>
    <w:rsid w:val="00205425"/>
    <w:rsid w:val="00205692"/>
    <w:rsid w:val="002057C4"/>
    <w:rsid w:val="002062AB"/>
    <w:rsid w:val="00213067"/>
    <w:rsid w:val="002164CE"/>
    <w:rsid w:val="002169D2"/>
    <w:rsid w:val="002177B4"/>
    <w:rsid w:val="002206C3"/>
    <w:rsid w:val="00221A22"/>
    <w:rsid w:val="002220E0"/>
    <w:rsid w:val="002227A0"/>
    <w:rsid w:val="00224282"/>
    <w:rsid w:val="00227DF5"/>
    <w:rsid w:val="002348FE"/>
    <w:rsid w:val="0023560E"/>
    <w:rsid w:val="0023671E"/>
    <w:rsid w:val="00237801"/>
    <w:rsid w:val="00245650"/>
    <w:rsid w:val="0024573F"/>
    <w:rsid w:val="002467B6"/>
    <w:rsid w:val="00246C64"/>
    <w:rsid w:val="00251066"/>
    <w:rsid w:val="00251CED"/>
    <w:rsid w:val="00252FE4"/>
    <w:rsid w:val="002564CF"/>
    <w:rsid w:val="00256947"/>
    <w:rsid w:val="0025719F"/>
    <w:rsid w:val="002603ED"/>
    <w:rsid w:val="00260E0C"/>
    <w:rsid w:val="002617CC"/>
    <w:rsid w:val="00261A34"/>
    <w:rsid w:val="00261DA9"/>
    <w:rsid w:val="00265658"/>
    <w:rsid w:val="0027006C"/>
    <w:rsid w:val="00272D71"/>
    <w:rsid w:val="00273BC6"/>
    <w:rsid w:val="0027514C"/>
    <w:rsid w:val="002754EF"/>
    <w:rsid w:val="00275D4D"/>
    <w:rsid w:val="00276914"/>
    <w:rsid w:val="00281BBD"/>
    <w:rsid w:val="002820D0"/>
    <w:rsid w:val="00285825"/>
    <w:rsid w:val="002875FC"/>
    <w:rsid w:val="00287D51"/>
    <w:rsid w:val="002969F0"/>
    <w:rsid w:val="002B0481"/>
    <w:rsid w:val="002B5503"/>
    <w:rsid w:val="002B6135"/>
    <w:rsid w:val="002B79BA"/>
    <w:rsid w:val="002C1864"/>
    <w:rsid w:val="002C39DD"/>
    <w:rsid w:val="002C3F50"/>
    <w:rsid w:val="002D2009"/>
    <w:rsid w:val="002D28E7"/>
    <w:rsid w:val="002D5D2B"/>
    <w:rsid w:val="002E1513"/>
    <w:rsid w:val="002E5247"/>
    <w:rsid w:val="002E7D9A"/>
    <w:rsid w:val="002F06B5"/>
    <w:rsid w:val="002F3059"/>
    <w:rsid w:val="002F6C31"/>
    <w:rsid w:val="00300329"/>
    <w:rsid w:val="003006D9"/>
    <w:rsid w:val="00301397"/>
    <w:rsid w:val="00302333"/>
    <w:rsid w:val="00302698"/>
    <w:rsid w:val="0030399D"/>
    <w:rsid w:val="00304E21"/>
    <w:rsid w:val="00306064"/>
    <w:rsid w:val="00307179"/>
    <w:rsid w:val="00310EB5"/>
    <w:rsid w:val="003116B6"/>
    <w:rsid w:val="00311944"/>
    <w:rsid w:val="00311A22"/>
    <w:rsid w:val="00311EE9"/>
    <w:rsid w:val="003128B3"/>
    <w:rsid w:val="00313BC4"/>
    <w:rsid w:val="00314ECB"/>
    <w:rsid w:val="003164D8"/>
    <w:rsid w:val="00316576"/>
    <w:rsid w:val="00321245"/>
    <w:rsid w:val="00321408"/>
    <w:rsid w:val="00322490"/>
    <w:rsid w:val="00323FF4"/>
    <w:rsid w:val="00325F62"/>
    <w:rsid w:val="00326EAD"/>
    <w:rsid w:val="00331C29"/>
    <w:rsid w:val="00340593"/>
    <w:rsid w:val="00344B9E"/>
    <w:rsid w:val="00344BDB"/>
    <w:rsid w:val="00344D9A"/>
    <w:rsid w:val="0034527B"/>
    <w:rsid w:val="00345D6E"/>
    <w:rsid w:val="003472A5"/>
    <w:rsid w:val="003476F9"/>
    <w:rsid w:val="0034776B"/>
    <w:rsid w:val="0035320C"/>
    <w:rsid w:val="0035366D"/>
    <w:rsid w:val="00353762"/>
    <w:rsid w:val="00353BB1"/>
    <w:rsid w:val="003630AD"/>
    <w:rsid w:val="003664BF"/>
    <w:rsid w:val="00370F35"/>
    <w:rsid w:val="00373509"/>
    <w:rsid w:val="00374FE4"/>
    <w:rsid w:val="00375299"/>
    <w:rsid w:val="00376230"/>
    <w:rsid w:val="00377535"/>
    <w:rsid w:val="00377DF6"/>
    <w:rsid w:val="00381017"/>
    <w:rsid w:val="003811EA"/>
    <w:rsid w:val="0038180F"/>
    <w:rsid w:val="00382B3E"/>
    <w:rsid w:val="00382CAB"/>
    <w:rsid w:val="0038316C"/>
    <w:rsid w:val="0038474F"/>
    <w:rsid w:val="0038561C"/>
    <w:rsid w:val="00393DB5"/>
    <w:rsid w:val="00394531"/>
    <w:rsid w:val="0039476A"/>
    <w:rsid w:val="00395547"/>
    <w:rsid w:val="00396EA1"/>
    <w:rsid w:val="003A01F2"/>
    <w:rsid w:val="003A0415"/>
    <w:rsid w:val="003A0C94"/>
    <w:rsid w:val="003A40D4"/>
    <w:rsid w:val="003A4C6F"/>
    <w:rsid w:val="003A71EA"/>
    <w:rsid w:val="003A7342"/>
    <w:rsid w:val="003A7EAC"/>
    <w:rsid w:val="003B2192"/>
    <w:rsid w:val="003B32B0"/>
    <w:rsid w:val="003B57F3"/>
    <w:rsid w:val="003B6EF1"/>
    <w:rsid w:val="003B707D"/>
    <w:rsid w:val="003B74E7"/>
    <w:rsid w:val="003B7541"/>
    <w:rsid w:val="003B7C64"/>
    <w:rsid w:val="003C0E5D"/>
    <w:rsid w:val="003C20EE"/>
    <w:rsid w:val="003C363A"/>
    <w:rsid w:val="003C66BB"/>
    <w:rsid w:val="003C699C"/>
    <w:rsid w:val="003C7188"/>
    <w:rsid w:val="003D0992"/>
    <w:rsid w:val="003D451C"/>
    <w:rsid w:val="003D452C"/>
    <w:rsid w:val="003D5E14"/>
    <w:rsid w:val="003D65DC"/>
    <w:rsid w:val="003D79DD"/>
    <w:rsid w:val="003E0263"/>
    <w:rsid w:val="003E0DB7"/>
    <w:rsid w:val="003E49FE"/>
    <w:rsid w:val="003E5A39"/>
    <w:rsid w:val="003F078B"/>
    <w:rsid w:val="003F0B02"/>
    <w:rsid w:val="003F177F"/>
    <w:rsid w:val="003F2557"/>
    <w:rsid w:val="003F409F"/>
    <w:rsid w:val="00400E98"/>
    <w:rsid w:val="00401ED0"/>
    <w:rsid w:val="00402048"/>
    <w:rsid w:val="00406248"/>
    <w:rsid w:val="00406BE2"/>
    <w:rsid w:val="0041035A"/>
    <w:rsid w:val="00410EF7"/>
    <w:rsid w:val="00414D3E"/>
    <w:rsid w:val="00416561"/>
    <w:rsid w:val="004203B7"/>
    <w:rsid w:val="0042097F"/>
    <w:rsid w:val="00425151"/>
    <w:rsid w:val="0042620F"/>
    <w:rsid w:val="004320F9"/>
    <w:rsid w:val="004326FC"/>
    <w:rsid w:val="00433837"/>
    <w:rsid w:val="00433DAA"/>
    <w:rsid w:val="004424E7"/>
    <w:rsid w:val="00443EDB"/>
    <w:rsid w:val="004441AD"/>
    <w:rsid w:val="0044779A"/>
    <w:rsid w:val="00453911"/>
    <w:rsid w:val="00453BB5"/>
    <w:rsid w:val="00455A03"/>
    <w:rsid w:val="00455B17"/>
    <w:rsid w:val="00455C4C"/>
    <w:rsid w:val="0045620B"/>
    <w:rsid w:val="004572AE"/>
    <w:rsid w:val="00461590"/>
    <w:rsid w:val="00461C44"/>
    <w:rsid w:val="00462F36"/>
    <w:rsid w:val="0046349D"/>
    <w:rsid w:val="0046357F"/>
    <w:rsid w:val="00463781"/>
    <w:rsid w:val="00463DB2"/>
    <w:rsid w:val="004643F1"/>
    <w:rsid w:val="0046479F"/>
    <w:rsid w:val="00465948"/>
    <w:rsid w:val="00471FF9"/>
    <w:rsid w:val="00472015"/>
    <w:rsid w:val="00472623"/>
    <w:rsid w:val="00472D3E"/>
    <w:rsid w:val="00475AFE"/>
    <w:rsid w:val="00476AE4"/>
    <w:rsid w:val="00477F6A"/>
    <w:rsid w:val="0048366A"/>
    <w:rsid w:val="00483BBD"/>
    <w:rsid w:val="004866C2"/>
    <w:rsid w:val="00490CE4"/>
    <w:rsid w:val="00490EF4"/>
    <w:rsid w:val="004940B2"/>
    <w:rsid w:val="00495C99"/>
    <w:rsid w:val="00495EF0"/>
    <w:rsid w:val="004A2352"/>
    <w:rsid w:val="004A302C"/>
    <w:rsid w:val="004A4392"/>
    <w:rsid w:val="004A55D6"/>
    <w:rsid w:val="004A5BBE"/>
    <w:rsid w:val="004A6454"/>
    <w:rsid w:val="004A7AF8"/>
    <w:rsid w:val="004A7BFA"/>
    <w:rsid w:val="004B0769"/>
    <w:rsid w:val="004B3631"/>
    <w:rsid w:val="004B5C53"/>
    <w:rsid w:val="004B5CE1"/>
    <w:rsid w:val="004B79BE"/>
    <w:rsid w:val="004C011E"/>
    <w:rsid w:val="004C057C"/>
    <w:rsid w:val="004C134F"/>
    <w:rsid w:val="004C4225"/>
    <w:rsid w:val="004C6B62"/>
    <w:rsid w:val="004C74D5"/>
    <w:rsid w:val="004D1AF2"/>
    <w:rsid w:val="004D1BC1"/>
    <w:rsid w:val="004D2B8F"/>
    <w:rsid w:val="004D3367"/>
    <w:rsid w:val="004D6A33"/>
    <w:rsid w:val="004D6C9B"/>
    <w:rsid w:val="004E0939"/>
    <w:rsid w:val="004E473E"/>
    <w:rsid w:val="004E62E2"/>
    <w:rsid w:val="004E7309"/>
    <w:rsid w:val="004E77B3"/>
    <w:rsid w:val="004F0B68"/>
    <w:rsid w:val="004F22F4"/>
    <w:rsid w:val="004F35C8"/>
    <w:rsid w:val="004F3D48"/>
    <w:rsid w:val="004F42A2"/>
    <w:rsid w:val="004F49B0"/>
    <w:rsid w:val="004F79EA"/>
    <w:rsid w:val="004F7CFC"/>
    <w:rsid w:val="005029CF"/>
    <w:rsid w:val="00505BAC"/>
    <w:rsid w:val="00506092"/>
    <w:rsid w:val="00507906"/>
    <w:rsid w:val="00513343"/>
    <w:rsid w:val="005135BC"/>
    <w:rsid w:val="00513B0D"/>
    <w:rsid w:val="0051469E"/>
    <w:rsid w:val="0051492C"/>
    <w:rsid w:val="005149D1"/>
    <w:rsid w:val="005231B2"/>
    <w:rsid w:val="00525529"/>
    <w:rsid w:val="00531009"/>
    <w:rsid w:val="005325C9"/>
    <w:rsid w:val="00534168"/>
    <w:rsid w:val="00534E8D"/>
    <w:rsid w:val="005352BB"/>
    <w:rsid w:val="0053684B"/>
    <w:rsid w:val="00537987"/>
    <w:rsid w:val="00537EDF"/>
    <w:rsid w:val="00542CF8"/>
    <w:rsid w:val="005445DF"/>
    <w:rsid w:val="005445F1"/>
    <w:rsid w:val="00545E53"/>
    <w:rsid w:val="005479C6"/>
    <w:rsid w:val="00551EBC"/>
    <w:rsid w:val="00551EF0"/>
    <w:rsid w:val="00552619"/>
    <w:rsid w:val="00552EC5"/>
    <w:rsid w:val="0055306C"/>
    <w:rsid w:val="00553729"/>
    <w:rsid w:val="005556D0"/>
    <w:rsid w:val="005569CB"/>
    <w:rsid w:val="00556D46"/>
    <w:rsid w:val="00557A84"/>
    <w:rsid w:val="00562770"/>
    <w:rsid w:val="00564274"/>
    <w:rsid w:val="005657C9"/>
    <w:rsid w:val="00565919"/>
    <w:rsid w:val="00565949"/>
    <w:rsid w:val="005664FC"/>
    <w:rsid w:val="00566831"/>
    <w:rsid w:val="00567DFD"/>
    <w:rsid w:val="005719C8"/>
    <w:rsid w:val="00572562"/>
    <w:rsid w:val="00574D38"/>
    <w:rsid w:val="00575202"/>
    <w:rsid w:val="00580731"/>
    <w:rsid w:val="00582DF0"/>
    <w:rsid w:val="0058339C"/>
    <w:rsid w:val="0058390A"/>
    <w:rsid w:val="005864B6"/>
    <w:rsid w:val="00586CC6"/>
    <w:rsid w:val="00587136"/>
    <w:rsid w:val="00590915"/>
    <w:rsid w:val="00590FC4"/>
    <w:rsid w:val="00591646"/>
    <w:rsid w:val="00593360"/>
    <w:rsid w:val="00594E8A"/>
    <w:rsid w:val="00595D34"/>
    <w:rsid w:val="00596ED5"/>
    <w:rsid w:val="00597C9F"/>
    <w:rsid w:val="005A003C"/>
    <w:rsid w:val="005A11BE"/>
    <w:rsid w:val="005A20FA"/>
    <w:rsid w:val="005A32A5"/>
    <w:rsid w:val="005A3B4B"/>
    <w:rsid w:val="005A4A6E"/>
    <w:rsid w:val="005B0142"/>
    <w:rsid w:val="005B1047"/>
    <w:rsid w:val="005B14D0"/>
    <w:rsid w:val="005B16BC"/>
    <w:rsid w:val="005B555C"/>
    <w:rsid w:val="005B73DB"/>
    <w:rsid w:val="005B7C30"/>
    <w:rsid w:val="005C0408"/>
    <w:rsid w:val="005C2A94"/>
    <w:rsid w:val="005C3A84"/>
    <w:rsid w:val="005C4352"/>
    <w:rsid w:val="005C5779"/>
    <w:rsid w:val="005C6D42"/>
    <w:rsid w:val="005D0CCC"/>
    <w:rsid w:val="005D1863"/>
    <w:rsid w:val="005D41EE"/>
    <w:rsid w:val="005D4B60"/>
    <w:rsid w:val="005E09C2"/>
    <w:rsid w:val="005E1FC2"/>
    <w:rsid w:val="005E47D8"/>
    <w:rsid w:val="005E490D"/>
    <w:rsid w:val="005E73B8"/>
    <w:rsid w:val="005E7C4C"/>
    <w:rsid w:val="005F2001"/>
    <w:rsid w:val="005F3AF3"/>
    <w:rsid w:val="005F4F49"/>
    <w:rsid w:val="005F56C1"/>
    <w:rsid w:val="005F6D7E"/>
    <w:rsid w:val="005F7407"/>
    <w:rsid w:val="006056C3"/>
    <w:rsid w:val="0060574D"/>
    <w:rsid w:val="0060794C"/>
    <w:rsid w:val="0061067A"/>
    <w:rsid w:val="006108C5"/>
    <w:rsid w:val="00614A49"/>
    <w:rsid w:val="006151A0"/>
    <w:rsid w:val="00617431"/>
    <w:rsid w:val="006231F7"/>
    <w:rsid w:val="00627A57"/>
    <w:rsid w:val="00631B27"/>
    <w:rsid w:val="00633154"/>
    <w:rsid w:val="006331EB"/>
    <w:rsid w:val="006364AB"/>
    <w:rsid w:val="00637707"/>
    <w:rsid w:val="006446C1"/>
    <w:rsid w:val="006462B9"/>
    <w:rsid w:val="0064755A"/>
    <w:rsid w:val="0065103F"/>
    <w:rsid w:val="00652FD4"/>
    <w:rsid w:val="00655BB4"/>
    <w:rsid w:val="006574E4"/>
    <w:rsid w:val="00660305"/>
    <w:rsid w:val="00661EA4"/>
    <w:rsid w:val="00661EEC"/>
    <w:rsid w:val="00662660"/>
    <w:rsid w:val="00662AA6"/>
    <w:rsid w:val="00663793"/>
    <w:rsid w:val="006645F3"/>
    <w:rsid w:val="00666F70"/>
    <w:rsid w:val="0066703F"/>
    <w:rsid w:val="00667254"/>
    <w:rsid w:val="00667AD4"/>
    <w:rsid w:val="00671391"/>
    <w:rsid w:val="006745D2"/>
    <w:rsid w:val="006745E4"/>
    <w:rsid w:val="00677404"/>
    <w:rsid w:val="00681955"/>
    <w:rsid w:val="0068548A"/>
    <w:rsid w:val="00685981"/>
    <w:rsid w:val="00685BB6"/>
    <w:rsid w:val="006873F3"/>
    <w:rsid w:val="006A0902"/>
    <w:rsid w:val="006A0F89"/>
    <w:rsid w:val="006A1558"/>
    <w:rsid w:val="006A2E6C"/>
    <w:rsid w:val="006A3B33"/>
    <w:rsid w:val="006A58FC"/>
    <w:rsid w:val="006A660F"/>
    <w:rsid w:val="006A7513"/>
    <w:rsid w:val="006B15AA"/>
    <w:rsid w:val="006B1658"/>
    <w:rsid w:val="006B29B6"/>
    <w:rsid w:val="006C08F5"/>
    <w:rsid w:val="006C09EB"/>
    <w:rsid w:val="006C3198"/>
    <w:rsid w:val="006C4B08"/>
    <w:rsid w:val="006D13CD"/>
    <w:rsid w:val="006D4846"/>
    <w:rsid w:val="006D609B"/>
    <w:rsid w:val="006D7C04"/>
    <w:rsid w:val="006E0250"/>
    <w:rsid w:val="006E2B3A"/>
    <w:rsid w:val="006E2D3F"/>
    <w:rsid w:val="006F09B3"/>
    <w:rsid w:val="006F0DB9"/>
    <w:rsid w:val="006F1D38"/>
    <w:rsid w:val="006F5F7C"/>
    <w:rsid w:val="006F6913"/>
    <w:rsid w:val="006F7CD4"/>
    <w:rsid w:val="0070059C"/>
    <w:rsid w:val="00700755"/>
    <w:rsid w:val="00704DA5"/>
    <w:rsid w:val="00704F6B"/>
    <w:rsid w:val="00705F47"/>
    <w:rsid w:val="007067BD"/>
    <w:rsid w:val="0070797C"/>
    <w:rsid w:val="007105A0"/>
    <w:rsid w:val="007106BA"/>
    <w:rsid w:val="00712167"/>
    <w:rsid w:val="007125C7"/>
    <w:rsid w:val="00714033"/>
    <w:rsid w:val="007213D4"/>
    <w:rsid w:val="007264AD"/>
    <w:rsid w:val="00726882"/>
    <w:rsid w:val="00727449"/>
    <w:rsid w:val="00727A78"/>
    <w:rsid w:val="00731113"/>
    <w:rsid w:val="00731C3F"/>
    <w:rsid w:val="00735A2F"/>
    <w:rsid w:val="00737755"/>
    <w:rsid w:val="007378DB"/>
    <w:rsid w:val="00741ABD"/>
    <w:rsid w:val="007421DF"/>
    <w:rsid w:val="00742B13"/>
    <w:rsid w:val="00743141"/>
    <w:rsid w:val="00744402"/>
    <w:rsid w:val="00745F78"/>
    <w:rsid w:val="007462D1"/>
    <w:rsid w:val="00746E83"/>
    <w:rsid w:val="00747C18"/>
    <w:rsid w:val="00747D9D"/>
    <w:rsid w:val="00750510"/>
    <w:rsid w:val="00750A1E"/>
    <w:rsid w:val="00751364"/>
    <w:rsid w:val="0075494A"/>
    <w:rsid w:val="007551CB"/>
    <w:rsid w:val="00762EBE"/>
    <w:rsid w:val="00763FD2"/>
    <w:rsid w:val="007640F2"/>
    <w:rsid w:val="00765FF0"/>
    <w:rsid w:val="00766116"/>
    <w:rsid w:val="00766C8F"/>
    <w:rsid w:val="00766E33"/>
    <w:rsid w:val="00770609"/>
    <w:rsid w:val="007715C1"/>
    <w:rsid w:val="00771A67"/>
    <w:rsid w:val="0077312A"/>
    <w:rsid w:val="007746F9"/>
    <w:rsid w:val="00774971"/>
    <w:rsid w:val="00777C89"/>
    <w:rsid w:val="0078454F"/>
    <w:rsid w:val="00784BEE"/>
    <w:rsid w:val="00785561"/>
    <w:rsid w:val="00786831"/>
    <w:rsid w:val="00787E4D"/>
    <w:rsid w:val="00791701"/>
    <w:rsid w:val="0079459A"/>
    <w:rsid w:val="00795283"/>
    <w:rsid w:val="007A2B85"/>
    <w:rsid w:val="007A37A2"/>
    <w:rsid w:val="007A453B"/>
    <w:rsid w:val="007A53C3"/>
    <w:rsid w:val="007B08D4"/>
    <w:rsid w:val="007B1300"/>
    <w:rsid w:val="007B15DC"/>
    <w:rsid w:val="007B1B6F"/>
    <w:rsid w:val="007B1C1E"/>
    <w:rsid w:val="007B25BA"/>
    <w:rsid w:val="007B38CB"/>
    <w:rsid w:val="007B38F5"/>
    <w:rsid w:val="007B3ED3"/>
    <w:rsid w:val="007B4CE7"/>
    <w:rsid w:val="007C2457"/>
    <w:rsid w:val="007C270A"/>
    <w:rsid w:val="007C31D3"/>
    <w:rsid w:val="007C3D29"/>
    <w:rsid w:val="007C4C90"/>
    <w:rsid w:val="007C5544"/>
    <w:rsid w:val="007C6247"/>
    <w:rsid w:val="007C7C12"/>
    <w:rsid w:val="007D015C"/>
    <w:rsid w:val="007D0A8E"/>
    <w:rsid w:val="007D12F8"/>
    <w:rsid w:val="007D2CB5"/>
    <w:rsid w:val="007D3AAB"/>
    <w:rsid w:val="007D61EE"/>
    <w:rsid w:val="007D6F81"/>
    <w:rsid w:val="007E36FC"/>
    <w:rsid w:val="007E5385"/>
    <w:rsid w:val="007E5486"/>
    <w:rsid w:val="007E55D9"/>
    <w:rsid w:val="007E5F68"/>
    <w:rsid w:val="007E6054"/>
    <w:rsid w:val="007E7C62"/>
    <w:rsid w:val="007F05AC"/>
    <w:rsid w:val="007F090A"/>
    <w:rsid w:val="007F2101"/>
    <w:rsid w:val="007F35EF"/>
    <w:rsid w:val="00802096"/>
    <w:rsid w:val="008021EB"/>
    <w:rsid w:val="00803C02"/>
    <w:rsid w:val="00804931"/>
    <w:rsid w:val="00810ADF"/>
    <w:rsid w:val="00815785"/>
    <w:rsid w:val="00820AD2"/>
    <w:rsid w:val="00821162"/>
    <w:rsid w:val="008226FF"/>
    <w:rsid w:val="00825CD7"/>
    <w:rsid w:val="00826970"/>
    <w:rsid w:val="00830E11"/>
    <w:rsid w:val="00830FB1"/>
    <w:rsid w:val="00832359"/>
    <w:rsid w:val="00832C9A"/>
    <w:rsid w:val="00835DF4"/>
    <w:rsid w:val="00840A9C"/>
    <w:rsid w:val="008418B2"/>
    <w:rsid w:val="008424A8"/>
    <w:rsid w:val="00843482"/>
    <w:rsid w:val="00843AF9"/>
    <w:rsid w:val="008449E6"/>
    <w:rsid w:val="00844A4A"/>
    <w:rsid w:val="00844DD4"/>
    <w:rsid w:val="00845B52"/>
    <w:rsid w:val="008465B0"/>
    <w:rsid w:val="00850EF9"/>
    <w:rsid w:val="00851231"/>
    <w:rsid w:val="0085128A"/>
    <w:rsid w:val="00851BA2"/>
    <w:rsid w:val="0085639E"/>
    <w:rsid w:val="00866F57"/>
    <w:rsid w:val="0087307F"/>
    <w:rsid w:val="00875DCA"/>
    <w:rsid w:val="00877D93"/>
    <w:rsid w:val="00880DB1"/>
    <w:rsid w:val="008837C4"/>
    <w:rsid w:val="00887873"/>
    <w:rsid w:val="00887BD6"/>
    <w:rsid w:val="008946B9"/>
    <w:rsid w:val="00896537"/>
    <w:rsid w:val="008A1343"/>
    <w:rsid w:val="008A2D81"/>
    <w:rsid w:val="008A3DBC"/>
    <w:rsid w:val="008A446F"/>
    <w:rsid w:val="008A5B44"/>
    <w:rsid w:val="008A69FD"/>
    <w:rsid w:val="008A74E8"/>
    <w:rsid w:val="008A7597"/>
    <w:rsid w:val="008B14DC"/>
    <w:rsid w:val="008B2C90"/>
    <w:rsid w:val="008B57D0"/>
    <w:rsid w:val="008B632E"/>
    <w:rsid w:val="008B7C8B"/>
    <w:rsid w:val="008C1302"/>
    <w:rsid w:val="008C213B"/>
    <w:rsid w:val="008C2941"/>
    <w:rsid w:val="008D12DD"/>
    <w:rsid w:val="008D4C46"/>
    <w:rsid w:val="008D522B"/>
    <w:rsid w:val="008D5636"/>
    <w:rsid w:val="008D6A5D"/>
    <w:rsid w:val="008D78AB"/>
    <w:rsid w:val="008E6E68"/>
    <w:rsid w:val="008E6E6E"/>
    <w:rsid w:val="008F17EC"/>
    <w:rsid w:val="008F2478"/>
    <w:rsid w:val="008F28FC"/>
    <w:rsid w:val="008F510F"/>
    <w:rsid w:val="008F514A"/>
    <w:rsid w:val="008F5A4B"/>
    <w:rsid w:val="00902DE6"/>
    <w:rsid w:val="00905815"/>
    <w:rsid w:val="00907F4F"/>
    <w:rsid w:val="009108C8"/>
    <w:rsid w:val="00911C58"/>
    <w:rsid w:val="00914E21"/>
    <w:rsid w:val="00916188"/>
    <w:rsid w:val="00917D6B"/>
    <w:rsid w:val="0092164A"/>
    <w:rsid w:val="009243E4"/>
    <w:rsid w:val="009251B9"/>
    <w:rsid w:val="00931A24"/>
    <w:rsid w:val="00931D8C"/>
    <w:rsid w:val="00933F6B"/>
    <w:rsid w:val="00934C83"/>
    <w:rsid w:val="0093515C"/>
    <w:rsid w:val="00936465"/>
    <w:rsid w:val="00937430"/>
    <w:rsid w:val="009415D6"/>
    <w:rsid w:val="00943774"/>
    <w:rsid w:val="00950AD7"/>
    <w:rsid w:val="009513FE"/>
    <w:rsid w:val="00951B07"/>
    <w:rsid w:val="00957070"/>
    <w:rsid w:val="0096247F"/>
    <w:rsid w:val="0096371C"/>
    <w:rsid w:val="00964C84"/>
    <w:rsid w:val="009665B5"/>
    <w:rsid w:val="00967015"/>
    <w:rsid w:val="00970CEF"/>
    <w:rsid w:val="00975A70"/>
    <w:rsid w:val="00976D08"/>
    <w:rsid w:val="009774FB"/>
    <w:rsid w:val="00977AE9"/>
    <w:rsid w:val="00981896"/>
    <w:rsid w:val="00986137"/>
    <w:rsid w:val="009870C2"/>
    <w:rsid w:val="00990701"/>
    <w:rsid w:val="00994065"/>
    <w:rsid w:val="009944C7"/>
    <w:rsid w:val="00995831"/>
    <w:rsid w:val="0099591F"/>
    <w:rsid w:val="00996277"/>
    <w:rsid w:val="00996DA2"/>
    <w:rsid w:val="00997E41"/>
    <w:rsid w:val="009A182C"/>
    <w:rsid w:val="009A34CD"/>
    <w:rsid w:val="009A42F1"/>
    <w:rsid w:val="009A5F33"/>
    <w:rsid w:val="009A7089"/>
    <w:rsid w:val="009B3AD9"/>
    <w:rsid w:val="009B53FB"/>
    <w:rsid w:val="009B7D8F"/>
    <w:rsid w:val="009C25FC"/>
    <w:rsid w:val="009C27E9"/>
    <w:rsid w:val="009C3577"/>
    <w:rsid w:val="009C70B4"/>
    <w:rsid w:val="009D04C9"/>
    <w:rsid w:val="009D0A5E"/>
    <w:rsid w:val="009D0F0B"/>
    <w:rsid w:val="009D1B9D"/>
    <w:rsid w:val="009D3BB7"/>
    <w:rsid w:val="009D60DA"/>
    <w:rsid w:val="009E0178"/>
    <w:rsid w:val="009E01BC"/>
    <w:rsid w:val="009E0E11"/>
    <w:rsid w:val="009E2BDA"/>
    <w:rsid w:val="009E4CC4"/>
    <w:rsid w:val="009F2C76"/>
    <w:rsid w:val="009F52F6"/>
    <w:rsid w:val="009F6CDB"/>
    <w:rsid w:val="009F7472"/>
    <w:rsid w:val="00A01ABD"/>
    <w:rsid w:val="00A05B7C"/>
    <w:rsid w:val="00A067CE"/>
    <w:rsid w:val="00A0746A"/>
    <w:rsid w:val="00A105F0"/>
    <w:rsid w:val="00A10DFC"/>
    <w:rsid w:val="00A142B2"/>
    <w:rsid w:val="00A15B2A"/>
    <w:rsid w:val="00A16783"/>
    <w:rsid w:val="00A174F7"/>
    <w:rsid w:val="00A17F16"/>
    <w:rsid w:val="00A203C2"/>
    <w:rsid w:val="00A22B4D"/>
    <w:rsid w:val="00A25A11"/>
    <w:rsid w:val="00A307B6"/>
    <w:rsid w:val="00A336B0"/>
    <w:rsid w:val="00A3443C"/>
    <w:rsid w:val="00A34B97"/>
    <w:rsid w:val="00A3570E"/>
    <w:rsid w:val="00A36504"/>
    <w:rsid w:val="00A41FE8"/>
    <w:rsid w:val="00A4253B"/>
    <w:rsid w:val="00A42790"/>
    <w:rsid w:val="00A430FA"/>
    <w:rsid w:val="00A438C9"/>
    <w:rsid w:val="00A44B62"/>
    <w:rsid w:val="00A44CD3"/>
    <w:rsid w:val="00A44D16"/>
    <w:rsid w:val="00A4622D"/>
    <w:rsid w:val="00A529B8"/>
    <w:rsid w:val="00A573C9"/>
    <w:rsid w:val="00A611E3"/>
    <w:rsid w:val="00A624D7"/>
    <w:rsid w:val="00A62998"/>
    <w:rsid w:val="00A63268"/>
    <w:rsid w:val="00A64AE3"/>
    <w:rsid w:val="00A657D2"/>
    <w:rsid w:val="00A7070F"/>
    <w:rsid w:val="00A75695"/>
    <w:rsid w:val="00A7597B"/>
    <w:rsid w:val="00A75ADF"/>
    <w:rsid w:val="00A76630"/>
    <w:rsid w:val="00A77515"/>
    <w:rsid w:val="00A8080A"/>
    <w:rsid w:val="00A81676"/>
    <w:rsid w:val="00A8761C"/>
    <w:rsid w:val="00A906BB"/>
    <w:rsid w:val="00A94C2A"/>
    <w:rsid w:val="00A954CE"/>
    <w:rsid w:val="00A973BB"/>
    <w:rsid w:val="00A97409"/>
    <w:rsid w:val="00A9770E"/>
    <w:rsid w:val="00A97DCF"/>
    <w:rsid w:val="00AA11C5"/>
    <w:rsid w:val="00AA1535"/>
    <w:rsid w:val="00AA2106"/>
    <w:rsid w:val="00AA3BE0"/>
    <w:rsid w:val="00AA7419"/>
    <w:rsid w:val="00AA7725"/>
    <w:rsid w:val="00AB0FFA"/>
    <w:rsid w:val="00AB391F"/>
    <w:rsid w:val="00AB3C30"/>
    <w:rsid w:val="00AB5E31"/>
    <w:rsid w:val="00AB63E4"/>
    <w:rsid w:val="00AB7F7F"/>
    <w:rsid w:val="00AC0161"/>
    <w:rsid w:val="00AC0E00"/>
    <w:rsid w:val="00AC14B0"/>
    <w:rsid w:val="00AC28AB"/>
    <w:rsid w:val="00AC43C6"/>
    <w:rsid w:val="00AC6AB2"/>
    <w:rsid w:val="00AC7942"/>
    <w:rsid w:val="00AD1C48"/>
    <w:rsid w:val="00AD2654"/>
    <w:rsid w:val="00AD37A8"/>
    <w:rsid w:val="00AD3985"/>
    <w:rsid w:val="00AD4335"/>
    <w:rsid w:val="00AD712A"/>
    <w:rsid w:val="00AE0D52"/>
    <w:rsid w:val="00AE191B"/>
    <w:rsid w:val="00AE61EA"/>
    <w:rsid w:val="00AE6651"/>
    <w:rsid w:val="00AE7E26"/>
    <w:rsid w:val="00AF206C"/>
    <w:rsid w:val="00AF229B"/>
    <w:rsid w:val="00AF26A3"/>
    <w:rsid w:val="00AF6389"/>
    <w:rsid w:val="00B00E7B"/>
    <w:rsid w:val="00B12EBA"/>
    <w:rsid w:val="00B1359B"/>
    <w:rsid w:val="00B142DE"/>
    <w:rsid w:val="00B160FF"/>
    <w:rsid w:val="00B17146"/>
    <w:rsid w:val="00B173B2"/>
    <w:rsid w:val="00B2425C"/>
    <w:rsid w:val="00B24B12"/>
    <w:rsid w:val="00B268B1"/>
    <w:rsid w:val="00B26ED0"/>
    <w:rsid w:val="00B30E07"/>
    <w:rsid w:val="00B326AA"/>
    <w:rsid w:val="00B34E7A"/>
    <w:rsid w:val="00B35832"/>
    <w:rsid w:val="00B3599E"/>
    <w:rsid w:val="00B362D3"/>
    <w:rsid w:val="00B42DB0"/>
    <w:rsid w:val="00B46699"/>
    <w:rsid w:val="00B50363"/>
    <w:rsid w:val="00B547EA"/>
    <w:rsid w:val="00B565C2"/>
    <w:rsid w:val="00B572C8"/>
    <w:rsid w:val="00B60199"/>
    <w:rsid w:val="00B62332"/>
    <w:rsid w:val="00B63B49"/>
    <w:rsid w:val="00B645D2"/>
    <w:rsid w:val="00B6742A"/>
    <w:rsid w:val="00B754CE"/>
    <w:rsid w:val="00B75E28"/>
    <w:rsid w:val="00B7737B"/>
    <w:rsid w:val="00B802FC"/>
    <w:rsid w:val="00B80922"/>
    <w:rsid w:val="00B80DD6"/>
    <w:rsid w:val="00B81F30"/>
    <w:rsid w:val="00B860F8"/>
    <w:rsid w:val="00B91FB0"/>
    <w:rsid w:val="00B920A4"/>
    <w:rsid w:val="00B928C7"/>
    <w:rsid w:val="00B92EC1"/>
    <w:rsid w:val="00B95DDF"/>
    <w:rsid w:val="00B97E47"/>
    <w:rsid w:val="00BA04F1"/>
    <w:rsid w:val="00BA0828"/>
    <w:rsid w:val="00BA3529"/>
    <w:rsid w:val="00BA378A"/>
    <w:rsid w:val="00BA3C7C"/>
    <w:rsid w:val="00BB0CE0"/>
    <w:rsid w:val="00BB7BE3"/>
    <w:rsid w:val="00BC1F27"/>
    <w:rsid w:val="00BC21D0"/>
    <w:rsid w:val="00BC2FCA"/>
    <w:rsid w:val="00BC40EE"/>
    <w:rsid w:val="00BC41A0"/>
    <w:rsid w:val="00BC4258"/>
    <w:rsid w:val="00BC4496"/>
    <w:rsid w:val="00BD1C3D"/>
    <w:rsid w:val="00BD2F22"/>
    <w:rsid w:val="00BD5430"/>
    <w:rsid w:val="00BD59D1"/>
    <w:rsid w:val="00BE03CD"/>
    <w:rsid w:val="00BE1D35"/>
    <w:rsid w:val="00BE2264"/>
    <w:rsid w:val="00BE2339"/>
    <w:rsid w:val="00BE385C"/>
    <w:rsid w:val="00BE724E"/>
    <w:rsid w:val="00BF06B3"/>
    <w:rsid w:val="00BF13F0"/>
    <w:rsid w:val="00BF1B4C"/>
    <w:rsid w:val="00BF64A2"/>
    <w:rsid w:val="00BF7BCD"/>
    <w:rsid w:val="00C006DC"/>
    <w:rsid w:val="00C04A0F"/>
    <w:rsid w:val="00C06CD9"/>
    <w:rsid w:val="00C07701"/>
    <w:rsid w:val="00C07894"/>
    <w:rsid w:val="00C108B4"/>
    <w:rsid w:val="00C117FA"/>
    <w:rsid w:val="00C1228B"/>
    <w:rsid w:val="00C13988"/>
    <w:rsid w:val="00C16A88"/>
    <w:rsid w:val="00C17189"/>
    <w:rsid w:val="00C179CB"/>
    <w:rsid w:val="00C205D7"/>
    <w:rsid w:val="00C22D3D"/>
    <w:rsid w:val="00C241BE"/>
    <w:rsid w:val="00C24EE4"/>
    <w:rsid w:val="00C2502A"/>
    <w:rsid w:val="00C321DA"/>
    <w:rsid w:val="00C37F59"/>
    <w:rsid w:val="00C41D78"/>
    <w:rsid w:val="00C43D67"/>
    <w:rsid w:val="00C441A4"/>
    <w:rsid w:val="00C44A85"/>
    <w:rsid w:val="00C44B79"/>
    <w:rsid w:val="00C46458"/>
    <w:rsid w:val="00C46843"/>
    <w:rsid w:val="00C46C39"/>
    <w:rsid w:val="00C46F02"/>
    <w:rsid w:val="00C5248F"/>
    <w:rsid w:val="00C525DE"/>
    <w:rsid w:val="00C54449"/>
    <w:rsid w:val="00C55170"/>
    <w:rsid w:val="00C55E52"/>
    <w:rsid w:val="00C56AF8"/>
    <w:rsid w:val="00C61E5B"/>
    <w:rsid w:val="00C62212"/>
    <w:rsid w:val="00C62857"/>
    <w:rsid w:val="00C66304"/>
    <w:rsid w:val="00C771FD"/>
    <w:rsid w:val="00C776FE"/>
    <w:rsid w:val="00C81E73"/>
    <w:rsid w:val="00C824B2"/>
    <w:rsid w:val="00C83645"/>
    <w:rsid w:val="00C870F3"/>
    <w:rsid w:val="00C90C40"/>
    <w:rsid w:val="00C9289B"/>
    <w:rsid w:val="00C92BAD"/>
    <w:rsid w:val="00C92CBF"/>
    <w:rsid w:val="00C93830"/>
    <w:rsid w:val="00C94A96"/>
    <w:rsid w:val="00C95680"/>
    <w:rsid w:val="00C96097"/>
    <w:rsid w:val="00C97F14"/>
    <w:rsid w:val="00CA03F7"/>
    <w:rsid w:val="00CA0F21"/>
    <w:rsid w:val="00CA24A9"/>
    <w:rsid w:val="00CA2872"/>
    <w:rsid w:val="00CA2C44"/>
    <w:rsid w:val="00CA50C7"/>
    <w:rsid w:val="00CB083F"/>
    <w:rsid w:val="00CB144D"/>
    <w:rsid w:val="00CB3937"/>
    <w:rsid w:val="00CB6181"/>
    <w:rsid w:val="00CB6E29"/>
    <w:rsid w:val="00CB79BA"/>
    <w:rsid w:val="00CB7D18"/>
    <w:rsid w:val="00CC1602"/>
    <w:rsid w:val="00CC19DF"/>
    <w:rsid w:val="00CC4FF0"/>
    <w:rsid w:val="00CC6438"/>
    <w:rsid w:val="00CC6C9A"/>
    <w:rsid w:val="00CD29A7"/>
    <w:rsid w:val="00CD3B29"/>
    <w:rsid w:val="00CD3EF8"/>
    <w:rsid w:val="00CD42CD"/>
    <w:rsid w:val="00CD533A"/>
    <w:rsid w:val="00CD571B"/>
    <w:rsid w:val="00CD61D8"/>
    <w:rsid w:val="00CD61E1"/>
    <w:rsid w:val="00CD711F"/>
    <w:rsid w:val="00CD7D35"/>
    <w:rsid w:val="00CE0C94"/>
    <w:rsid w:val="00CE0ED4"/>
    <w:rsid w:val="00CE7739"/>
    <w:rsid w:val="00CF0FAC"/>
    <w:rsid w:val="00CF1C65"/>
    <w:rsid w:val="00CF34AA"/>
    <w:rsid w:val="00CF48DF"/>
    <w:rsid w:val="00CF6063"/>
    <w:rsid w:val="00CF7051"/>
    <w:rsid w:val="00CF7B7F"/>
    <w:rsid w:val="00CF7CDC"/>
    <w:rsid w:val="00D0451B"/>
    <w:rsid w:val="00D0487B"/>
    <w:rsid w:val="00D061B3"/>
    <w:rsid w:val="00D06FFF"/>
    <w:rsid w:val="00D071AB"/>
    <w:rsid w:val="00D0762B"/>
    <w:rsid w:val="00D07BF4"/>
    <w:rsid w:val="00D1100B"/>
    <w:rsid w:val="00D11E2A"/>
    <w:rsid w:val="00D13F6F"/>
    <w:rsid w:val="00D15326"/>
    <w:rsid w:val="00D17849"/>
    <w:rsid w:val="00D20E8C"/>
    <w:rsid w:val="00D21065"/>
    <w:rsid w:val="00D235D4"/>
    <w:rsid w:val="00D24CD3"/>
    <w:rsid w:val="00D253D1"/>
    <w:rsid w:val="00D265E7"/>
    <w:rsid w:val="00D31516"/>
    <w:rsid w:val="00D41B0C"/>
    <w:rsid w:val="00D4274D"/>
    <w:rsid w:val="00D42F89"/>
    <w:rsid w:val="00D45732"/>
    <w:rsid w:val="00D46860"/>
    <w:rsid w:val="00D474F7"/>
    <w:rsid w:val="00D53CF2"/>
    <w:rsid w:val="00D5482A"/>
    <w:rsid w:val="00D55D0B"/>
    <w:rsid w:val="00D62654"/>
    <w:rsid w:val="00D66C78"/>
    <w:rsid w:val="00D67189"/>
    <w:rsid w:val="00D80A91"/>
    <w:rsid w:val="00D87BFA"/>
    <w:rsid w:val="00D90D28"/>
    <w:rsid w:val="00D916C6"/>
    <w:rsid w:val="00D91BE3"/>
    <w:rsid w:val="00D92EFA"/>
    <w:rsid w:val="00D958FF"/>
    <w:rsid w:val="00DA2865"/>
    <w:rsid w:val="00DA48E8"/>
    <w:rsid w:val="00DA4F63"/>
    <w:rsid w:val="00DA52BD"/>
    <w:rsid w:val="00DA7236"/>
    <w:rsid w:val="00DA7A8A"/>
    <w:rsid w:val="00DA7B08"/>
    <w:rsid w:val="00DB0323"/>
    <w:rsid w:val="00DB0C18"/>
    <w:rsid w:val="00DB3B70"/>
    <w:rsid w:val="00DB4995"/>
    <w:rsid w:val="00DB6DC8"/>
    <w:rsid w:val="00DC0548"/>
    <w:rsid w:val="00DC4C84"/>
    <w:rsid w:val="00DC4E3A"/>
    <w:rsid w:val="00DD0C9D"/>
    <w:rsid w:val="00DD1F30"/>
    <w:rsid w:val="00DD357F"/>
    <w:rsid w:val="00DD3AC0"/>
    <w:rsid w:val="00DE1C47"/>
    <w:rsid w:val="00DE2AD5"/>
    <w:rsid w:val="00DE3A3E"/>
    <w:rsid w:val="00DE3A82"/>
    <w:rsid w:val="00DE54DC"/>
    <w:rsid w:val="00DE5AF3"/>
    <w:rsid w:val="00DE5B5A"/>
    <w:rsid w:val="00DF1C68"/>
    <w:rsid w:val="00DF2B46"/>
    <w:rsid w:val="00DF320D"/>
    <w:rsid w:val="00DF4236"/>
    <w:rsid w:val="00DF5031"/>
    <w:rsid w:val="00DF7B03"/>
    <w:rsid w:val="00DF7D4C"/>
    <w:rsid w:val="00E008F6"/>
    <w:rsid w:val="00E010D1"/>
    <w:rsid w:val="00E02938"/>
    <w:rsid w:val="00E0450D"/>
    <w:rsid w:val="00E060DE"/>
    <w:rsid w:val="00E07E75"/>
    <w:rsid w:val="00E10F8A"/>
    <w:rsid w:val="00E1188E"/>
    <w:rsid w:val="00E11956"/>
    <w:rsid w:val="00E1200E"/>
    <w:rsid w:val="00E1422A"/>
    <w:rsid w:val="00E14B9F"/>
    <w:rsid w:val="00E16FBE"/>
    <w:rsid w:val="00E20E47"/>
    <w:rsid w:val="00E22C2A"/>
    <w:rsid w:val="00E24A5A"/>
    <w:rsid w:val="00E25DEF"/>
    <w:rsid w:val="00E302A8"/>
    <w:rsid w:val="00E304BB"/>
    <w:rsid w:val="00E308DF"/>
    <w:rsid w:val="00E357F7"/>
    <w:rsid w:val="00E35A6E"/>
    <w:rsid w:val="00E3606A"/>
    <w:rsid w:val="00E44C6B"/>
    <w:rsid w:val="00E45190"/>
    <w:rsid w:val="00E46114"/>
    <w:rsid w:val="00E470C8"/>
    <w:rsid w:val="00E538EB"/>
    <w:rsid w:val="00E5517E"/>
    <w:rsid w:val="00E5568F"/>
    <w:rsid w:val="00E578DA"/>
    <w:rsid w:val="00E62CB8"/>
    <w:rsid w:val="00E63C0B"/>
    <w:rsid w:val="00E64CB8"/>
    <w:rsid w:val="00E65A6E"/>
    <w:rsid w:val="00E66487"/>
    <w:rsid w:val="00E665B1"/>
    <w:rsid w:val="00E67558"/>
    <w:rsid w:val="00E70F12"/>
    <w:rsid w:val="00E71EA0"/>
    <w:rsid w:val="00E73D92"/>
    <w:rsid w:val="00E73FE0"/>
    <w:rsid w:val="00E74C0E"/>
    <w:rsid w:val="00E75A45"/>
    <w:rsid w:val="00E772EB"/>
    <w:rsid w:val="00E805D6"/>
    <w:rsid w:val="00E81E3C"/>
    <w:rsid w:val="00E82378"/>
    <w:rsid w:val="00E82E7F"/>
    <w:rsid w:val="00E84572"/>
    <w:rsid w:val="00E848B9"/>
    <w:rsid w:val="00E8580E"/>
    <w:rsid w:val="00E8648D"/>
    <w:rsid w:val="00E91867"/>
    <w:rsid w:val="00E92F1D"/>
    <w:rsid w:val="00E95383"/>
    <w:rsid w:val="00E96BAB"/>
    <w:rsid w:val="00E96C8D"/>
    <w:rsid w:val="00E96F07"/>
    <w:rsid w:val="00EA06FF"/>
    <w:rsid w:val="00EA1DE4"/>
    <w:rsid w:val="00EA305E"/>
    <w:rsid w:val="00EA78EA"/>
    <w:rsid w:val="00EA7D32"/>
    <w:rsid w:val="00EB0D93"/>
    <w:rsid w:val="00EB396A"/>
    <w:rsid w:val="00EB46FB"/>
    <w:rsid w:val="00EB4CDB"/>
    <w:rsid w:val="00EB6CA3"/>
    <w:rsid w:val="00EB6D62"/>
    <w:rsid w:val="00EC22D6"/>
    <w:rsid w:val="00EC2EF6"/>
    <w:rsid w:val="00ED1AFF"/>
    <w:rsid w:val="00ED2823"/>
    <w:rsid w:val="00ED2B6D"/>
    <w:rsid w:val="00ED77F3"/>
    <w:rsid w:val="00ED7D4D"/>
    <w:rsid w:val="00EE3EE2"/>
    <w:rsid w:val="00EE521D"/>
    <w:rsid w:val="00EE5ABE"/>
    <w:rsid w:val="00EE772F"/>
    <w:rsid w:val="00EE778C"/>
    <w:rsid w:val="00EF0AF3"/>
    <w:rsid w:val="00EF3DB2"/>
    <w:rsid w:val="00EF4904"/>
    <w:rsid w:val="00EF53B5"/>
    <w:rsid w:val="00F013FD"/>
    <w:rsid w:val="00F029E7"/>
    <w:rsid w:val="00F02B8C"/>
    <w:rsid w:val="00F036AC"/>
    <w:rsid w:val="00F110F5"/>
    <w:rsid w:val="00F12972"/>
    <w:rsid w:val="00F13606"/>
    <w:rsid w:val="00F14873"/>
    <w:rsid w:val="00F150D7"/>
    <w:rsid w:val="00F15F0F"/>
    <w:rsid w:val="00F17743"/>
    <w:rsid w:val="00F20183"/>
    <w:rsid w:val="00F218C3"/>
    <w:rsid w:val="00F226F4"/>
    <w:rsid w:val="00F241BF"/>
    <w:rsid w:val="00F246F4"/>
    <w:rsid w:val="00F24744"/>
    <w:rsid w:val="00F249EA"/>
    <w:rsid w:val="00F257BA"/>
    <w:rsid w:val="00F26F3C"/>
    <w:rsid w:val="00F30506"/>
    <w:rsid w:val="00F30FAD"/>
    <w:rsid w:val="00F32331"/>
    <w:rsid w:val="00F328FE"/>
    <w:rsid w:val="00F34282"/>
    <w:rsid w:val="00F41CC8"/>
    <w:rsid w:val="00F42CF1"/>
    <w:rsid w:val="00F43242"/>
    <w:rsid w:val="00F46B63"/>
    <w:rsid w:val="00F50C1E"/>
    <w:rsid w:val="00F52237"/>
    <w:rsid w:val="00F61FE8"/>
    <w:rsid w:val="00F61FF6"/>
    <w:rsid w:val="00F67461"/>
    <w:rsid w:val="00F67F70"/>
    <w:rsid w:val="00F705D1"/>
    <w:rsid w:val="00F7742A"/>
    <w:rsid w:val="00F815B9"/>
    <w:rsid w:val="00F82350"/>
    <w:rsid w:val="00F8291F"/>
    <w:rsid w:val="00F9124B"/>
    <w:rsid w:val="00F92142"/>
    <w:rsid w:val="00F94323"/>
    <w:rsid w:val="00F96898"/>
    <w:rsid w:val="00FA0AE1"/>
    <w:rsid w:val="00FA3096"/>
    <w:rsid w:val="00FA425F"/>
    <w:rsid w:val="00FA5B41"/>
    <w:rsid w:val="00FA75DF"/>
    <w:rsid w:val="00FB2053"/>
    <w:rsid w:val="00FC5280"/>
    <w:rsid w:val="00FC5914"/>
    <w:rsid w:val="00FC7883"/>
    <w:rsid w:val="00FC7B84"/>
    <w:rsid w:val="00FD0930"/>
    <w:rsid w:val="00FD1044"/>
    <w:rsid w:val="00FD15E3"/>
    <w:rsid w:val="00FD3ED1"/>
    <w:rsid w:val="00FD70C1"/>
    <w:rsid w:val="00FE015F"/>
    <w:rsid w:val="00FE1189"/>
    <w:rsid w:val="00FE126D"/>
    <w:rsid w:val="00FE5CAC"/>
    <w:rsid w:val="00FE73E1"/>
    <w:rsid w:val="00FF1524"/>
    <w:rsid w:val="00FF1943"/>
    <w:rsid w:val="00FF22DC"/>
    <w:rsid w:val="00FF32B1"/>
    <w:rsid w:val="00FF55AF"/>
    <w:rsid w:val="00FF5F22"/>
    <w:rsid w:val="00FF67D6"/>
    <w:rsid w:val="00FF6D8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67FB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qFormat="1"/>
    <w:lsdException w:name="List Bullet" w:uiPriority="1" w:qFormat="1"/>
    <w:lsdException w:name="List Bullet 2" w:uiPriority="19"/>
    <w:lsdException w:name="List Bullet 3" w:uiPriority="19"/>
    <w:lsdException w:name="List Bullet 4" w:uiPriority="19"/>
    <w:lsdException w:name="List Bullet 5" w:uiPriority="1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B8C"/>
    <w:rPr>
      <w:rFonts w:ascii="Arial" w:hAnsi="Arial"/>
      <w:sz w:val="22"/>
      <w:szCs w:val="24"/>
    </w:rPr>
  </w:style>
  <w:style w:type="paragraph" w:styleId="Heading1">
    <w:name w:val="heading 1"/>
    <w:next w:val="BodyText"/>
    <w:link w:val="Heading1Char"/>
    <w:qFormat/>
    <w:rsid w:val="00C22D3D"/>
    <w:pPr>
      <w:keepNext/>
      <w:spacing w:before="240" w:after="240"/>
      <w:outlineLvl w:val="0"/>
    </w:pPr>
    <w:rPr>
      <w:rFonts w:ascii="Arial" w:hAnsi="Arial"/>
      <w:b/>
      <w:color w:val="ABC494" w:themeColor="accent2"/>
      <w:sz w:val="36"/>
      <w:szCs w:val="36"/>
    </w:rPr>
  </w:style>
  <w:style w:type="paragraph" w:styleId="Heading2">
    <w:name w:val="heading 2"/>
    <w:next w:val="BodyText"/>
    <w:link w:val="Heading2Char"/>
    <w:qFormat/>
    <w:rsid w:val="00C22D3D"/>
    <w:pPr>
      <w:keepNext/>
      <w:spacing w:before="120" w:after="120"/>
      <w:outlineLvl w:val="1"/>
    </w:pPr>
    <w:rPr>
      <w:rFonts w:ascii="Arial" w:hAnsi="Arial"/>
      <w:color w:val="ABC494" w:themeColor="accent2"/>
      <w:sz w:val="32"/>
      <w:szCs w:val="24"/>
    </w:rPr>
  </w:style>
  <w:style w:type="paragraph" w:styleId="Heading3">
    <w:name w:val="heading 3"/>
    <w:next w:val="BodyText"/>
    <w:link w:val="Heading3Char"/>
    <w:qFormat/>
    <w:rsid w:val="00C22D3D"/>
    <w:pPr>
      <w:keepNext/>
      <w:spacing w:before="120" w:after="120"/>
      <w:outlineLvl w:val="2"/>
    </w:pPr>
    <w:rPr>
      <w:rFonts w:ascii="Arial" w:hAnsi="Arial"/>
      <w:b/>
      <w:color w:val="000000" w:themeColor="text1"/>
      <w:sz w:val="28"/>
      <w:szCs w:val="24"/>
    </w:rPr>
  </w:style>
  <w:style w:type="paragraph" w:styleId="Heading4">
    <w:name w:val="heading 4"/>
    <w:next w:val="BodyText"/>
    <w:qFormat/>
    <w:rsid w:val="00C22D3D"/>
    <w:pPr>
      <w:keepNext/>
      <w:spacing w:before="240" w:after="120"/>
      <w:outlineLvl w:val="3"/>
    </w:pPr>
    <w:rPr>
      <w:rFonts w:ascii="Arial" w:hAnsi="Arial"/>
      <w:b/>
      <w:i/>
      <w:color w:val="00809E" w:themeColor="accent6"/>
      <w:sz w:val="28"/>
      <w:szCs w:val="24"/>
    </w:rPr>
  </w:style>
  <w:style w:type="paragraph" w:styleId="Heading5">
    <w:name w:val="heading 5"/>
    <w:next w:val="BodyText"/>
    <w:qFormat/>
    <w:rsid w:val="00C22D3D"/>
    <w:pPr>
      <w:keepNext/>
      <w:keepLines/>
      <w:spacing w:before="240" w:after="120"/>
      <w:outlineLvl w:val="4"/>
    </w:pPr>
    <w:rPr>
      <w:rFonts w:ascii="Arial" w:hAnsi="Arial"/>
      <w:b/>
      <w:color w:val="00809E" w:themeColor="accent6"/>
      <w:sz w:val="22"/>
      <w:szCs w:val="24"/>
    </w:rPr>
  </w:style>
  <w:style w:type="paragraph" w:styleId="Heading6">
    <w:name w:val="heading 6"/>
    <w:next w:val="BodyText"/>
    <w:qFormat/>
    <w:rsid w:val="004F79EA"/>
    <w:pPr>
      <w:keepNext/>
      <w:spacing w:before="240" w:after="120"/>
      <w:outlineLvl w:val="5"/>
    </w:pPr>
    <w:rPr>
      <w:rFonts w:ascii="Arial" w:hAnsi="Arial"/>
      <w:bCs/>
      <w:i/>
      <w:color w:val="343333"/>
      <w:sz w:val="28"/>
      <w:szCs w:val="22"/>
    </w:rPr>
  </w:style>
  <w:style w:type="paragraph" w:styleId="Heading7">
    <w:name w:val="heading 7"/>
    <w:basedOn w:val="Normal"/>
    <w:next w:val="Normal"/>
    <w:qFormat/>
    <w:rsid w:val="00304E21"/>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rsid w:val="00304E21"/>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rsid w:val="00304E21"/>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3ED3"/>
    <w:pPr>
      <w:spacing w:before="120" w:after="120" w:line="276" w:lineRule="auto"/>
    </w:pPr>
  </w:style>
  <w:style w:type="paragraph" w:styleId="BodyText2">
    <w:name w:val="Body Text 2"/>
    <w:basedOn w:val="BodyText"/>
    <w:semiHidden/>
    <w:rsid w:val="00AC7942"/>
    <w:rPr>
      <w:lang w:eastAsia="en-US"/>
    </w:rPr>
  </w:style>
  <w:style w:type="paragraph" w:styleId="Header">
    <w:name w:val="header"/>
    <w:basedOn w:val="Normal"/>
    <w:link w:val="HeaderChar"/>
    <w:rsid w:val="00D53CF2"/>
    <w:pPr>
      <w:tabs>
        <w:tab w:val="center" w:pos="4320"/>
        <w:tab w:val="right" w:pos="8640"/>
      </w:tabs>
    </w:pPr>
  </w:style>
  <w:style w:type="paragraph" w:styleId="ListBullet0">
    <w:name w:val="List Bullet"/>
    <w:uiPriority w:val="1"/>
    <w:qFormat/>
    <w:rsid w:val="00EA78EA"/>
    <w:pPr>
      <w:numPr>
        <w:numId w:val="15"/>
      </w:numPr>
      <w:spacing w:before="60" w:after="60" w:line="276" w:lineRule="auto"/>
    </w:pPr>
    <w:rPr>
      <w:rFonts w:ascii="Arial" w:hAnsi="Arial"/>
      <w:snapToGrid w:val="0"/>
      <w:sz w:val="22"/>
      <w:szCs w:val="24"/>
    </w:rPr>
  </w:style>
  <w:style w:type="table" w:styleId="TableGrid">
    <w:name w:val="Table Grid"/>
    <w:basedOn w:val="TableNormal"/>
    <w:uiPriority w:val="59"/>
    <w:rsid w:val="00FE126D"/>
    <w:rPr>
      <w:rFonts w:ascii="Arial" w:hAnsi="Arial"/>
    </w:rPr>
    <w:tblPr/>
    <w:trPr>
      <w:cantSplit/>
      <w:tblHeader/>
    </w:trPr>
  </w:style>
  <w:style w:type="paragraph" w:customStyle="1" w:styleId="ListBulletWhite">
    <w:name w:val="List Bullet White"/>
    <w:basedOn w:val="Normal"/>
    <w:rsid w:val="0039476A"/>
    <w:pPr>
      <w:numPr>
        <w:numId w:val="14"/>
      </w:numPr>
      <w:spacing w:before="60" w:after="60" w:line="276" w:lineRule="auto"/>
    </w:pPr>
    <w:rPr>
      <w:color w:val="FFFFFF"/>
    </w:rPr>
  </w:style>
  <w:style w:type="paragraph" w:customStyle="1" w:styleId="TableBullet">
    <w:name w:val="Table Bullet"/>
    <w:basedOn w:val="TableTextLeft"/>
    <w:rsid w:val="00EA78EA"/>
    <w:pPr>
      <w:numPr>
        <w:numId w:val="17"/>
      </w:numPr>
    </w:pPr>
  </w:style>
  <w:style w:type="paragraph" w:customStyle="1" w:styleId="TableTextLeft">
    <w:name w:val="Table Text Left"/>
    <w:basedOn w:val="Normal"/>
    <w:link w:val="TableTextLeftCharChar"/>
    <w:rsid w:val="00306064"/>
    <w:pPr>
      <w:spacing w:before="60" w:after="40"/>
    </w:pPr>
    <w:rPr>
      <w:rFonts w:eastAsia="MS Mincho"/>
      <w:sz w:val="20"/>
      <w:lang w:eastAsia="en-US"/>
    </w:rPr>
  </w:style>
  <w:style w:type="character" w:customStyle="1" w:styleId="TableTextLeftCharChar">
    <w:name w:val="Table Text Left Char Char"/>
    <w:basedOn w:val="DefaultParagraphFont"/>
    <w:link w:val="TableTextLeft"/>
    <w:rsid w:val="00306064"/>
    <w:rPr>
      <w:rFonts w:ascii="Arial" w:eastAsia="MS Mincho" w:hAnsi="Arial"/>
      <w:szCs w:val="24"/>
      <w:lang w:val="en-AU" w:eastAsia="en-US" w:bidi="ar-SA"/>
    </w:rPr>
  </w:style>
  <w:style w:type="character" w:styleId="Hyperlink">
    <w:name w:val="Hyperlink"/>
    <w:basedOn w:val="DefaultParagraphFont"/>
    <w:uiPriority w:val="99"/>
    <w:rsid w:val="00304E21"/>
    <w:rPr>
      <w:color w:val="0000FF"/>
      <w:u w:val="single"/>
    </w:rPr>
  </w:style>
  <w:style w:type="numbering" w:styleId="111111">
    <w:name w:val="Outline List 2"/>
    <w:basedOn w:val="NoList"/>
    <w:semiHidden/>
    <w:rsid w:val="00931A24"/>
    <w:pPr>
      <w:numPr>
        <w:numId w:val="3"/>
      </w:numPr>
    </w:pPr>
  </w:style>
  <w:style w:type="character" w:styleId="FootnoteReference">
    <w:name w:val="footnote reference"/>
    <w:basedOn w:val="DefaultParagraphFont"/>
    <w:semiHidden/>
    <w:rsid w:val="00CA50C7"/>
    <w:rPr>
      <w:vertAlign w:val="superscript"/>
    </w:rPr>
  </w:style>
  <w:style w:type="paragraph" w:customStyle="1" w:styleId="BodyText-White">
    <w:name w:val="Body Text - White"/>
    <w:basedOn w:val="BodyText"/>
    <w:rsid w:val="00AC7942"/>
    <w:rPr>
      <w:color w:val="FFFFFF"/>
    </w:rPr>
  </w:style>
  <w:style w:type="character" w:customStyle="1" w:styleId="Date1">
    <w:name w:val="Date1"/>
    <w:basedOn w:val="DefaultParagraphFont"/>
    <w:semiHidden/>
    <w:rsid w:val="002617CC"/>
  </w:style>
  <w:style w:type="paragraph" w:customStyle="1" w:styleId="Heading">
    <w:name w:val="Heading"/>
    <w:basedOn w:val="Normal"/>
    <w:next w:val="BodyText"/>
    <w:qFormat/>
    <w:rsid w:val="008A446F"/>
    <w:pPr>
      <w:spacing w:before="200" w:after="200"/>
    </w:pPr>
    <w:rPr>
      <w:b/>
      <w:color w:val="343333"/>
      <w:sz w:val="36"/>
      <w:szCs w:val="36"/>
    </w:rPr>
  </w:style>
  <w:style w:type="paragraph" w:customStyle="1" w:styleId="NoHeading3">
    <w:name w:val="No. Heading 3"/>
    <w:basedOn w:val="Heading3"/>
    <w:next w:val="BodyText"/>
    <w:rsid w:val="0039476A"/>
    <w:pPr>
      <w:numPr>
        <w:ilvl w:val="2"/>
        <w:numId w:val="16"/>
      </w:numPr>
    </w:pPr>
  </w:style>
  <w:style w:type="paragraph" w:customStyle="1" w:styleId="Blockquotation">
    <w:name w:val="Block quotation"/>
    <w:basedOn w:val="BodyText"/>
    <w:qFormat/>
    <w:rsid w:val="00E96F07"/>
    <w:pPr>
      <w:ind w:left="567" w:right="567"/>
      <w:jc w:val="both"/>
    </w:pPr>
    <w:rPr>
      <w:noProof/>
      <w:sz w:val="20"/>
      <w:lang w:eastAsia="en-US"/>
    </w:rPr>
  </w:style>
  <w:style w:type="paragraph" w:styleId="ListNumber">
    <w:name w:val="List Number"/>
    <w:aliases w:val="Numbered level 1"/>
    <w:basedOn w:val="Normal"/>
    <w:rsid w:val="00EA78EA"/>
    <w:pPr>
      <w:numPr>
        <w:ilvl w:val="5"/>
        <w:numId w:val="16"/>
      </w:numPr>
      <w:spacing w:before="60" w:after="60" w:line="276" w:lineRule="auto"/>
    </w:pPr>
    <w:rPr>
      <w:color w:val="000000"/>
    </w:rPr>
  </w:style>
  <w:style w:type="paragraph" w:styleId="Footer">
    <w:name w:val="footer"/>
    <w:link w:val="FooterChar"/>
    <w:uiPriority w:val="99"/>
    <w:qFormat/>
    <w:rsid w:val="0000348F"/>
    <w:pPr>
      <w:tabs>
        <w:tab w:val="right" w:pos="9355"/>
      </w:tabs>
    </w:pPr>
    <w:rPr>
      <w:rFonts w:ascii="Arial" w:hAnsi="Arial"/>
      <w:b/>
      <w:color w:val="635D63"/>
      <w:sz w:val="18"/>
      <w:szCs w:val="18"/>
    </w:rPr>
  </w:style>
  <w:style w:type="paragraph" w:styleId="FootnoteText">
    <w:name w:val="footnote text"/>
    <w:basedOn w:val="Normal"/>
    <w:link w:val="FootnoteTextChar"/>
    <w:semiHidden/>
    <w:rsid w:val="007F2101"/>
    <w:rPr>
      <w:sz w:val="16"/>
      <w:szCs w:val="20"/>
    </w:rPr>
  </w:style>
  <w:style w:type="paragraph" w:customStyle="1" w:styleId="SectionHeading">
    <w:name w:val="Section Heading"/>
    <w:basedOn w:val="Normal"/>
    <w:semiHidden/>
    <w:rsid w:val="00A41FE8"/>
    <w:pPr>
      <w:tabs>
        <w:tab w:val="num" w:pos="1134"/>
      </w:tabs>
      <w:ind w:hanging="567"/>
    </w:pPr>
    <w:rPr>
      <w:sz w:val="48"/>
    </w:rPr>
  </w:style>
  <w:style w:type="character" w:customStyle="1" w:styleId="SectionNo">
    <w:name w:val="Section No"/>
    <w:basedOn w:val="DefaultParagraphFont"/>
    <w:semiHidden/>
    <w:rsid w:val="00A41FE8"/>
    <w:rPr>
      <w:rFonts w:ascii="Arial" w:hAnsi="Arial"/>
      <w:b/>
      <w:sz w:val="20"/>
    </w:rPr>
  </w:style>
  <w:style w:type="character" w:customStyle="1" w:styleId="BodyTextItalics">
    <w:name w:val="Body Text Italics"/>
    <w:basedOn w:val="DefaultParagraphFont"/>
    <w:semiHidden/>
    <w:rsid w:val="00495C99"/>
    <w:rPr>
      <w:rFonts w:ascii="Arial" w:hAnsi="Arial"/>
      <w:i/>
      <w:sz w:val="20"/>
      <w:lang w:val="en-AU"/>
    </w:rPr>
  </w:style>
  <w:style w:type="character" w:customStyle="1" w:styleId="BoldEmphasis">
    <w:name w:val="Bold Emphasis"/>
    <w:basedOn w:val="DefaultParagraphFont"/>
    <w:semiHidden/>
    <w:rsid w:val="00377DF6"/>
    <w:rPr>
      <w:b/>
    </w:rPr>
  </w:style>
  <w:style w:type="paragraph" w:styleId="Subtitle">
    <w:name w:val="Subtitle"/>
    <w:basedOn w:val="Normal"/>
    <w:qFormat/>
    <w:rsid w:val="0016454E"/>
    <w:pPr>
      <w:spacing w:before="120" w:after="120"/>
    </w:pPr>
    <w:rPr>
      <w:b/>
      <w:color w:val="FFFFFF"/>
      <w:sz w:val="24"/>
      <w:lang w:eastAsia="en-US"/>
    </w:rPr>
  </w:style>
  <w:style w:type="paragraph" w:styleId="BodyText3">
    <w:name w:val="Body Text 3"/>
    <w:basedOn w:val="BodyText"/>
    <w:semiHidden/>
    <w:rsid w:val="00AC7942"/>
    <w:rPr>
      <w:szCs w:val="16"/>
      <w:lang w:eastAsia="en-US"/>
    </w:rPr>
  </w:style>
  <w:style w:type="table" w:customStyle="1" w:styleId="NavyGridTable">
    <w:name w:val="Navy Grid Table"/>
    <w:basedOn w:val="TableNormal"/>
    <w:rsid w:val="008A3DBC"/>
    <w:rPr>
      <w:rFonts w:ascii="Arial" w:hAnsi="Arial"/>
    </w:rPr>
    <w:tblPr>
      <w:tblInd w:w="108" w:type="dxa"/>
      <w:tblBorders>
        <w:top w:val="single" w:sz="4" w:space="0" w:color="304F92"/>
        <w:left w:val="single" w:sz="4" w:space="0" w:color="304F92"/>
        <w:bottom w:val="single" w:sz="4" w:space="0" w:color="304F92"/>
        <w:right w:val="single" w:sz="4" w:space="0" w:color="304F92"/>
        <w:insideH w:val="single" w:sz="4" w:space="0" w:color="304F92"/>
        <w:insideV w:val="single" w:sz="4" w:space="0" w:color="304F92"/>
      </w:tblBorders>
    </w:tblPr>
    <w:tblStylePr w:type="firstRow">
      <w:rPr>
        <w:color w:val="FFFFFF"/>
      </w:rPr>
      <w:tblPr/>
      <w:tcPr>
        <w:tcBorders>
          <w:insideV w:val="single" w:sz="4" w:space="0" w:color="FFFFFF"/>
        </w:tcBorders>
        <w:shd w:val="clear" w:color="auto" w:fill="304F92"/>
      </w:tcPr>
    </w:tblStylePr>
  </w:style>
  <w:style w:type="paragraph" w:customStyle="1" w:styleId="text">
    <w:name w:val="text"/>
    <w:next w:val="Normal"/>
    <w:autoRedefine/>
    <w:semiHidden/>
    <w:rsid w:val="003C0E5D"/>
    <w:pPr>
      <w:widowControl w:val="0"/>
      <w:tabs>
        <w:tab w:val="left" w:pos="567"/>
        <w:tab w:val="left" w:pos="1134"/>
      </w:tabs>
      <w:spacing w:after="120"/>
    </w:pPr>
    <w:rPr>
      <w:rFonts w:ascii="Arial" w:hAnsi="Arial"/>
      <w:b/>
      <w:snapToGrid w:val="0"/>
      <w:sz w:val="22"/>
      <w:lang w:val="en-NZ" w:eastAsia="en-US"/>
    </w:rPr>
  </w:style>
  <w:style w:type="paragraph" w:styleId="Title">
    <w:name w:val="Title"/>
    <w:basedOn w:val="Normal"/>
    <w:next w:val="Normal"/>
    <w:link w:val="TitleChar"/>
    <w:qFormat/>
    <w:rsid w:val="0016454E"/>
    <w:rPr>
      <w:b/>
      <w:color w:val="FFFFFF"/>
      <w:sz w:val="48"/>
      <w:szCs w:val="52"/>
      <w:lang w:eastAsia="en-US"/>
    </w:rPr>
  </w:style>
  <w:style w:type="character" w:customStyle="1" w:styleId="DocProjectName">
    <w:name w:val="DocProjectName"/>
    <w:basedOn w:val="DefaultParagraphFont"/>
    <w:semiHidden/>
    <w:rsid w:val="00C92CBF"/>
  </w:style>
  <w:style w:type="table" w:customStyle="1" w:styleId="BlackTable">
    <w:name w:val="Black Table"/>
    <w:basedOn w:val="TableNormal"/>
    <w:rsid w:val="006A7513"/>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tblPr/>
      <w:trPr>
        <w:cantSplit w:val="0"/>
        <w:tblHeader/>
      </w:trPr>
      <w:tcPr>
        <w:tcBorders>
          <w:insideH w:val="single" w:sz="4" w:space="0" w:color="FFFFFF"/>
          <w:insideV w:val="single" w:sz="4" w:space="0" w:color="FFFFFF"/>
        </w:tcBorders>
        <w:shd w:val="clear" w:color="auto" w:fill="000000"/>
      </w:tcPr>
    </w:tblStylePr>
  </w:style>
  <w:style w:type="character" w:customStyle="1" w:styleId="DocTitle">
    <w:name w:val="DocTitle"/>
    <w:basedOn w:val="DefaultParagraphFont"/>
    <w:rsid w:val="00D87BFA"/>
  </w:style>
  <w:style w:type="table" w:customStyle="1" w:styleId="NavyAlternatingTable">
    <w:name w:val="Navy Alternating Table"/>
    <w:basedOn w:val="TableNormal"/>
    <w:rsid w:val="00AD4335"/>
    <w:rPr>
      <w:rFonts w:ascii="Arial" w:hAnsi="Arial"/>
    </w:rPr>
    <w:tblPr>
      <w:tblStyleRowBandSize w:val="1"/>
      <w:tblInd w:w="108" w:type="dxa"/>
      <w:tblBorders>
        <w:insideH w:val="single" w:sz="12" w:space="0" w:color="FFFFFF"/>
        <w:insideV w:val="single" w:sz="12" w:space="0" w:color="FFFFFF"/>
      </w:tblBorders>
    </w:tblPr>
    <w:tblStylePr w:type="firstRow">
      <w:rPr>
        <w:color w:val="FFFFFF"/>
      </w:rPr>
      <w:tblPr/>
      <w:tcPr>
        <w:shd w:val="clear" w:color="auto" w:fill="304F92"/>
      </w:tcPr>
    </w:tblStylePr>
    <w:tblStylePr w:type="band1Horz">
      <w:rPr>
        <w:rFonts w:ascii="Arial" w:hAnsi="Arial"/>
      </w:rPr>
    </w:tblStylePr>
    <w:tblStylePr w:type="band2Horz">
      <w:tblPr/>
      <w:tcPr>
        <w:shd w:val="clear" w:color="auto" w:fill="B0C1E6"/>
      </w:tcPr>
    </w:tblStylePr>
  </w:style>
  <w:style w:type="character" w:customStyle="1" w:styleId="DocSubTitle">
    <w:name w:val="DocSubTitle"/>
    <w:basedOn w:val="DefaultParagraphFont"/>
    <w:rsid w:val="00D87BFA"/>
  </w:style>
  <w:style w:type="paragraph" w:customStyle="1" w:styleId="TableTextCentre">
    <w:name w:val="Table Text Centre"/>
    <w:basedOn w:val="TableTextLeft"/>
    <w:rsid w:val="00652FD4"/>
    <w:pPr>
      <w:jc w:val="center"/>
    </w:pPr>
    <w:rPr>
      <w:lang w:val="en-NZ"/>
    </w:rPr>
  </w:style>
  <w:style w:type="paragraph" w:customStyle="1" w:styleId="Disclaimer">
    <w:name w:val="Disclaimer"/>
    <w:basedOn w:val="Normal"/>
    <w:rsid w:val="00353BB1"/>
    <w:pPr>
      <w:spacing w:before="60"/>
    </w:pPr>
    <w:rPr>
      <w:sz w:val="16"/>
      <w:lang w:eastAsia="en-US"/>
    </w:rPr>
  </w:style>
  <w:style w:type="paragraph" w:customStyle="1" w:styleId="TableTitle">
    <w:name w:val="Table Title"/>
    <w:basedOn w:val="Heading5"/>
    <w:semiHidden/>
    <w:rsid w:val="006D7C04"/>
    <w:rPr>
      <w:rFonts w:ascii="Gill Sans MT" w:hAnsi="Gill Sans MT"/>
      <w:color w:val="000000"/>
      <w:sz w:val="18"/>
    </w:rPr>
  </w:style>
  <w:style w:type="paragraph" w:customStyle="1" w:styleId="DueDate">
    <w:name w:val="DueDate"/>
    <w:semiHidden/>
    <w:rsid w:val="00E848B9"/>
    <w:pPr>
      <w:spacing w:before="80"/>
      <w:ind w:left="284"/>
    </w:pPr>
    <w:rPr>
      <w:rFonts w:ascii="Gill Sans MT" w:hAnsi="Gill Sans MT" w:cs="Arial"/>
      <w:color w:val="003366"/>
      <w:sz w:val="28"/>
      <w:szCs w:val="28"/>
      <w:lang w:eastAsia="en-US"/>
    </w:rPr>
  </w:style>
  <w:style w:type="paragraph" w:styleId="ListParagraph0">
    <w:name w:val="List Paragraph"/>
    <w:basedOn w:val="BodyText"/>
    <w:link w:val="ListParagraphChar"/>
    <w:uiPriority w:val="34"/>
    <w:qFormat/>
    <w:rsid w:val="00D15326"/>
  </w:style>
  <w:style w:type="paragraph" w:customStyle="1" w:styleId="TableListNumber">
    <w:name w:val="Table List Number"/>
    <w:basedOn w:val="TableTextLeft"/>
    <w:rsid w:val="00EA78EA"/>
    <w:pPr>
      <w:numPr>
        <w:numId w:val="19"/>
      </w:numPr>
    </w:pPr>
  </w:style>
  <w:style w:type="paragraph" w:customStyle="1" w:styleId="TableListLetter">
    <w:name w:val="Table List Letter"/>
    <w:basedOn w:val="TableTextLeft"/>
    <w:rsid w:val="00EA78EA"/>
    <w:pPr>
      <w:numPr>
        <w:numId w:val="18"/>
      </w:numPr>
    </w:pPr>
  </w:style>
  <w:style w:type="table" w:customStyle="1" w:styleId="Table-Standard1">
    <w:name w:val="Table-Standard1"/>
    <w:basedOn w:val="TableNormal"/>
    <w:semiHidden/>
    <w:rsid w:val="00E14B9F"/>
    <w:rPr>
      <w:rFonts w:ascii="Arial" w:hAnsi="Arial"/>
    </w:rPr>
    <w:tblPr>
      <w:tblBorders>
        <w:bottom w:val="single" w:sz="4" w:space="0" w:color="5793C9"/>
        <w:insideH w:val="single" w:sz="4" w:space="0" w:color="5793C9"/>
      </w:tblBorders>
    </w:tblPr>
    <w:tcPr>
      <w:vAlign w:val="center"/>
    </w:tcPr>
    <w:tblStylePr w:type="firstRow">
      <w:pPr>
        <w:wordWrap/>
        <w:jc w:val="left"/>
      </w:pPr>
      <w:rPr>
        <w:rFonts w:ascii="Arial" w:hAnsi="Arial"/>
        <w:b w:val="0"/>
        <w:color w:val="003366"/>
        <w:sz w:val="20"/>
      </w:rPr>
      <w:tblPr/>
      <w:tcPr>
        <w:tcBorders>
          <w:insideV w:val="single" w:sz="12" w:space="0" w:color="FFFFFF"/>
        </w:tcBorders>
        <w:shd w:val="clear" w:color="auto" w:fill="CCBEB6"/>
      </w:tcPr>
    </w:tblStylePr>
    <w:tblStylePr w:type="lastRow">
      <w:rPr>
        <w:rFonts w:ascii="Arial" w:hAnsi="Arial"/>
        <w:sz w:val="20"/>
      </w:rPr>
    </w:tblStylePr>
  </w:style>
  <w:style w:type="table" w:customStyle="1" w:styleId="NavyTable">
    <w:name w:val="Navy Table"/>
    <w:basedOn w:val="TableNormal"/>
    <w:rsid w:val="00AD4335"/>
    <w:rPr>
      <w:rFonts w:ascii="Arial" w:hAnsi="Arial"/>
    </w:rPr>
    <w:tblPr>
      <w:tblInd w:w="108" w:type="dxa"/>
      <w:tblBorders>
        <w:bottom w:val="single" w:sz="4" w:space="0" w:color="304F92"/>
        <w:insideH w:val="single" w:sz="4" w:space="0" w:color="304F92"/>
      </w:tblBorders>
    </w:tblPr>
    <w:trPr>
      <w:cantSplit/>
    </w:trPr>
    <w:tblStylePr w:type="firstRow">
      <w:rPr>
        <w:b w:val="0"/>
        <w:color w:val="FFFFFF"/>
      </w:rPr>
      <w:tblPr/>
      <w:tcPr>
        <w:shd w:val="clear" w:color="auto" w:fill="304F92"/>
      </w:tcPr>
    </w:tblStylePr>
  </w:style>
  <w:style w:type="paragraph" w:customStyle="1" w:styleId="TableTextRight">
    <w:name w:val="Table Text Right"/>
    <w:basedOn w:val="Normal"/>
    <w:rsid w:val="008A3DBC"/>
    <w:pPr>
      <w:spacing w:before="60" w:after="40"/>
      <w:jc w:val="right"/>
    </w:pPr>
    <w:rPr>
      <w:sz w:val="20"/>
    </w:rPr>
  </w:style>
  <w:style w:type="paragraph" w:customStyle="1" w:styleId="TableHeadingCentre-Black">
    <w:name w:val="Table Heading Centre - Black"/>
    <w:basedOn w:val="TableTextCentre"/>
    <w:rsid w:val="000F52AB"/>
    <w:rPr>
      <w:b/>
    </w:rPr>
  </w:style>
  <w:style w:type="character" w:customStyle="1" w:styleId="DocDate">
    <w:name w:val="DocDate"/>
    <w:basedOn w:val="DefaultParagraphFont"/>
    <w:semiHidden/>
    <w:rsid w:val="00F9124B"/>
  </w:style>
  <w:style w:type="numbering" w:styleId="1ai">
    <w:name w:val="Outline List 1"/>
    <w:basedOn w:val="NoList"/>
    <w:semiHidden/>
    <w:rsid w:val="00931A24"/>
    <w:pPr>
      <w:numPr>
        <w:numId w:val="4"/>
      </w:numPr>
    </w:pPr>
  </w:style>
  <w:style w:type="numbering" w:styleId="ArticleSection">
    <w:name w:val="Outline List 3"/>
    <w:basedOn w:val="NoList"/>
    <w:semiHidden/>
    <w:rsid w:val="00931A24"/>
    <w:pPr>
      <w:numPr>
        <w:numId w:val="5"/>
      </w:numPr>
    </w:pPr>
  </w:style>
  <w:style w:type="paragraph" w:styleId="BlockText">
    <w:name w:val="Block Text"/>
    <w:basedOn w:val="Normal"/>
    <w:semiHidden/>
    <w:rsid w:val="00931A24"/>
    <w:pPr>
      <w:spacing w:after="120"/>
      <w:ind w:left="1440" w:right="1440"/>
    </w:pPr>
  </w:style>
  <w:style w:type="paragraph" w:styleId="BodyTextFirstIndent">
    <w:name w:val="Body Text First Indent"/>
    <w:basedOn w:val="BodyText"/>
    <w:semiHidden/>
    <w:rsid w:val="00931A24"/>
    <w:pPr>
      <w:spacing w:line="240" w:lineRule="auto"/>
      <w:ind w:firstLine="210"/>
    </w:pPr>
  </w:style>
  <w:style w:type="paragraph" w:styleId="BodyTextIndent">
    <w:name w:val="Body Text Indent"/>
    <w:basedOn w:val="Normal"/>
    <w:link w:val="BodyTextIndentChar"/>
    <w:rsid w:val="00931A24"/>
    <w:pPr>
      <w:spacing w:after="120"/>
      <w:ind w:left="283"/>
    </w:pPr>
  </w:style>
  <w:style w:type="paragraph" w:styleId="BodyTextFirstIndent2">
    <w:name w:val="Body Text First Indent 2"/>
    <w:basedOn w:val="BodyTextIndent"/>
    <w:semiHidden/>
    <w:rsid w:val="00931A24"/>
    <w:pPr>
      <w:ind w:firstLine="210"/>
    </w:pPr>
  </w:style>
  <w:style w:type="paragraph" w:styleId="BodyTextIndent2">
    <w:name w:val="Body Text Indent 2"/>
    <w:basedOn w:val="Normal"/>
    <w:semiHidden/>
    <w:rsid w:val="00931A24"/>
    <w:pPr>
      <w:spacing w:after="120" w:line="480" w:lineRule="auto"/>
      <w:ind w:left="283"/>
    </w:pPr>
  </w:style>
  <w:style w:type="paragraph" w:styleId="BodyTextIndent3">
    <w:name w:val="Body Text Indent 3"/>
    <w:basedOn w:val="Normal"/>
    <w:semiHidden/>
    <w:rsid w:val="00931A24"/>
    <w:pPr>
      <w:spacing w:after="120"/>
      <w:ind w:left="283"/>
    </w:pPr>
    <w:rPr>
      <w:sz w:val="16"/>
      <w:szCs w:val="16"/>
    </w:rPr>
  </w:style>
  <w:style w:type="paragraph" w:styleId="Caption">
    <w:name w:val="caption"/>
    <w:basedOn w:val="Normal"/>
    <w:next w:val="BodyText"/>
    <w:qFormat/>
    <w:rsid w:val="007D2CB5"/>
    <w:pPr>
      <w:spacing w:before="120" w:after="120"/>
    </w:pPr>
    <w:rPr>
      <w:b/>
      <w:bCs/>
      <w:sz w:val="20"/>
      <w:szCs w:val="20"/>
    </w:rPr>
  </w:style>
  <w:style w:type="paragraph" w:styleId="Closing">
    <w:name w:val="Closing"/>
    <w:basedOn w:val="Normal"/>
    <w:semiHidden/>
    <w:rsid w:val="00931A24"/>
    <w:pPr>
      <w:ind w:left="4252"/>
    </w:pPr>
  </w:style>
  <w:style w:type="paragraph" w:styleId="Date">
    <w:name w:val="Date"/>
    <w:basedOn w:val="Normal"/>
    <w:next w:val="Normal"/>
    <w:semiHidden/>
    <w:rsid w:val="00931A24"/>
  </w:style>
  <w:style w:type="paragraph" w:styleId="E-mailSignature">
    <w:name w:val="E-mail Signature"/>
    <w:basedOn w:val="Normal"/>
    <w:semiHidden/>
    <w:rsid w:val="00931A24"/>
  </w:style>
  <w:style w:type="character" w:styleId="Emphasis">
    <w:name w:val="Emphasis"/>
    <w:basedOn w:val="DefaultParagraphFont"/>
    <w:uiPriority w:val="20"/>
    <w:qFormat/>
    <w:rsid w:val="00931A24"/>
    <w:rPr>
      <w:i/>
      <w:iCs/>
    </w:rPr>
  </w:style>
  <w:style w:type="paragraph" w:styleId="EnvelopeAddress">
    <w:name w:val="envelope address"/>
    <w:basedOn w:val="Normal"/>
    <w:semiHidden/>
    <w:rsid w:val="00931A24"/>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931A24"/>
    <w:rPr>
      <w:rFonts w:cs="Arial"/>
      <w:sz w:val="20"/>
      <w:szCs w:val="20"/>
    </w:rPr>
  </w:style>
  <w:style w:type="character" w:styleId="FollowedHyperlink">
    <w:name w:val="FollowedHyperlink"/>
    <w:basedOn w:val="DefaultParagraphFont"/>
    <w:rsid w:val="00931A24"/>
    <w:rPr>
      <w:color w:val="800080"/>
      <w:u w:val="single"/>
    </w:rPr>
  </w:style>
  <w:style w:type="character" w:styleId="HTMLAcronym">
    <w:name w:val="HTML Acronym"/>
    <w:basedOn w:val="DefaultParagraphFont"/>
    <w:semiHidden/>
    <w:rsid w:val="00931A24"/>
  </w:style>
  <w:style w:type="paragraph" w:styleId="HTMLAddress">
    <w:name w:val="HTML Address"/>
    <w:basedOn w:val="Normal"/>
    <w:semiHidden/>
    <w:rsid w:val="00931A24"/>
    <w:rPr>
      <w:i/>
      <w:iCs/>
    </w:rPr>
  </w:style>
  <w:style w:type="character" w:styleId="HTMLCite">
    <w:name w:val="HTML Cite"/>
    <w:basedOn w:val="DefaultParagraphFont"/>
    <w:semiHidden/>
    <w:rsid w:val="00931A24"/>
    <w:rPr>
      <w:i/>
      <w:iCs/>
    </w:rPr>
  </w:style>
  <w:style w:type="character" w:styleId="HTMLCode">
    <w:name w:val="HTML Code"/>
    <w:basedOn w:val="DefaultParagraphFont"/>
    <w:semiHidden/>
    <w:rsid w:val="00931A24"/>
    <w:rPr>
      <w:rFonts w:ascii="Courier New" w:hAnsi="Courier New" w:cs="Courier New"/>
      <w:sz w:val="20"/>
      <w:szCs w:val="20"/>
    </w:rPr>
  </w:style>
  <w:style w:type="character" w:styleId="HTMLDefinition">
    <w:name w:val="HTML Definition"/>
    <w:basedOn w:val="DefaultParagraphFont"/>
    <w:semiHidden/>
    <w:rsid w:val="00931A24"/>
    <w:rPr>
      <w:i/>
      <w:iCs/>
    </w:rPr>
  </w:style>
  <w:style w:type="character" w:styleId="HTMLKeyboard">
    <w:name w:val="HTML Keyboard"/>
    <w:basedOn w:val="DefaultParagraphFont"/>
    <w:semiHidden/>
    <w:rsid w:val="00931A24"/>
    <w:rPr>
      <w:rFonts w:ascii="Courier New" w:hAnsi="Courier New" w:cs="Courier New"/>
      <w:sz w:val="20"/>
      <w:szCs w:val="20"/>
    </w:rPr>
  </w:style>
  <w:style w:type="paragraph" w:styleId="HTMLPreformatted">
    <w:name w:val="HTML Preformatted"/>
    <w:basedOn w:val="Normal"/>
    <w:semiHidden/>
    <w:rsid w:val="00931A24"/>
    <w:rPr>
      <w:rFonts w:ascii="Courier New" w:hAnsi="Courier New" w:cs="Courier New"/>
      <w:sz w:val="20"/>
      <w:szCs w:val="20"/>
    </w:rPr>
  </w:style>
  <w:style w:type="character" w:styleId="HTMLSample">
    <w:name w:val="HTML Sample"/>
    <w:basedOn w:val="DefaultParagraphFont"/>
    <w:semiHidden/>
    <w:rsid w:val="00931A24"/>
    <w:rPr>
      <w:rFonts w:ascii="Courier New" w:hAnsi="Courier New" w:cs="Courier New"/>
    </w:rPr>
  </w:style>
  <w:style w:type="character" w:styleId="HTMLTypewriter">
    <w:name w:val="HTML Typewriter"/>
    <w:basedOn w:val="DefaultParagraphFont"/>
    <w:semiHidden/>
    <w:rsid w:val="00931A24"/>
    <w:rPr>
      <w:rFonts w:ascii="Courier New" w:hAnsi="Courier New" w:cs="Courier New"/>
      <w:sz w:val="20"/>
      <w:szCs w:val="20"/>
    </w:rPr>
  </w:style>
  <w:style w:type="character" w:styleId="HTMLVariable">
    <w:name w:val="HTML Variable"/>
    <w:basedOn w:val="DefaultParagraphFont"/>
    <w:semiHidden/>
    <w:rsid w:val="00931A24"/>
    <w:rPr>
      <w:i/>
      <w:iCs/>
    </w:rPr>
  </w:style>
  <w:style w:type="character" w:styleId="LineNumber">
    <w:name w:val="line number"/>
    <w:basedOn w:val="DefaultParagraphFont"/>
    <w:semiHidden/>
    <w:rsid w:val="00931A24"/>
  </w:style>
  <w:style w:type="paragraph" w:styleId="List">
    <w:name w:val="List"/>
    <w:basedOn w:val="Normal"/>
    <w:semiHidden/>
    <w:rsid w:val="00931A24"/>
    <w:pPr>
      <w:ind w:left="283" w:hanging="283"/>
    </w:pPr>
  </w:style>
  <w:style w:type="paragraph" w:styleId="List2">
    <w:name w:val="List 2"/>
    <w:basedOn w:val="Normal"/>
    <w:semiHidden/>
    <w:rsid w:val="00931A24"/>
    <w:pPr>
      <w:ind w:left="566" w:hanging="283"/>
    </w:pPr>
  </w:style>
  <w:style w:type="paragraph" w:styleId="List3">
    <w:name w:val="List 3"/>
    <w:basedOn w:val="Normal"/>
    <w:semiHidden/>
    <w:rsid w:val="00931A24"/>
    <w:pPr>
      <w:ind w:left="849" w:hanging="283"/>
    </w:pPr>
  </w:style>
  <w:style w:type="paragraph" w:styleId="List4">
    <w:name w:val="List 4"/>
    <w:basedOn w:val="Normal"/>
    <w:semiHidden/>
    <w:rsid w:val="00931A24"/>
    <w:pPr>
      <w:ind w:left="1132" w:hanging="283"/>
    </w:pPr>
  </w:style>
  <w:style w:type="paragraph" w:styleId="List5">
    <w:name w:val="List 5"/>
    <w:basedOn w:val="Normal"/>
    <w:semiHidden/>
    <w:rsid w:val="00931A24"/>
    <w:pPr>
      <w:ind w:left="1415" w:hanging="283"/>
    </w:pPr>
  </w:style>
  <w:style w:type="paragraph" w:styleId="ListBullet2">
    <w:name w:val="List Bullet 2"/>
    <w:basedOn w:val="Normal"/>
    <w:uiPriority w:val="19"/>
    <w:rsid w:val="00931A24"/>
    <w:pPr>
      <w:numPr>
        <w:numId w:val="6"/>
      </w:numPr>
    </w:pPr>
  </w:style>
  <w:style w:type="paragraph" w:styleId="ListBullet3">
    <w:name w:val="List Bullet 3"/>
    <w:basedOn w:val="Normal"/>
    <w:uiPriority w:val="19"/>
    <w:rsid w:val="00931A24"/>
    <w:pPr>
      <w:numPr>
        <w:numId w:val="7"/>
      </w:numPr>
    </w:pPr>
  </w:style>
  <w:style w:type="paragraph" w:styleId="ListBullet4">
    <w:name w:val="List Bullet 4"/>
    <w:basedOn w:val="Normal"/>
    <w:uiPriority w:val="19"/>
    <w:rsid w:val="00931A24"/>
    <w:pPr>
      <w:numPr>
        <w:numId w:val="8"/>
      </w:numPr>
    </w:pPr>
  </w:style>
  <w:style w:type="paragraph" w:styleId="ListBullet5">
    <w:name w:val="List Bullet 5"/>
    <w:basedOn w:val="Normal"/>
    <w:uiPriority w:val="19"/>
    <w:rsid w:val="00931A24"/>
    <w:pPr>
      <w:numPr>
        <w:numId w:val="9"/>
      </w:numPr>
    </w:pPr>
  </w:style>
  <w:style w:type="paragraph" w:styleId="ListContinue">
    <w:name w:val="List Continue"/>
    <w:basedOn w:val="Normal"/>
    <w:semiHidden/>
    <w:rsid w:val="00931A24"/>
    <w:pPr>
      <w:spacing w:after="120"/>
      <w:ind w:left="283"/>
    </w:pPr>
  </w:style>
  <w:style w:type="paragraph" w:styleId="ListContinue2">
    <w:name w:val="List Continue 2"/>
    <w:basedOn w:val="Normal"/>
    <w:semiHidden/>
    <w:rsid w:val="00931A24"/>
    <w:pPr>
      <w:spacing w:after="120"/>
      <w:ind w:left="566"/>
    </w:pPr>
  </w:style>
  <w:style w:type="paragraph" w:styleId="ListContinue3">
    <w:name w:val="List Continue 3"/>
    <w:basedOn w:val="Normal"/>
    <w:semiHidden/>
    <w:rsid w:val="00931A24"/>
    <w:pPr>
      <w:spacing w:after="120"/>
      <w:ind w:left="849"/>
    </w:pPr>
  </w:style>
  <w:style w:type="paragraph" w:styleId="ListContinue4">
    <w:name w:val="List Continue 4"/>
    <w:basedOn w:val="Normal"/>
    <w:semiHidden/>
    <w:rsid w:val="00931A24"/>
    <w:pPr>
      <w:spacing w:after="120"/>
      <w:ind w:left="1132"/>
    </w:pPr>
  </w:style>
  <w:style w:type="paragraph" w:styleId="ListContinue5">
    <w:name w:val="List Continue 5"/>
    <w:basedOn w:val="Normal"/>
    <w:semiHidden/>
    <w:rsid w:val="00931A24"/>
    <w:pPr>
      <w:spacing w:after="120"/>
      <w:ind w:left="1415"/>
    </w:pPr>
  </w:style>
  <w:style w:type="paragraph" w:styleId="ListNumber2">
    <w:name w:val="List Number 2"/>
    <w:basedOn w:val="Normal"/>
    <w:semiHidden/>
    <w:rsid w:val="00931A24"/>
    <w:pPr>
      <w:numPr>
        <w:numId w:val="10"/>
      </w:numPr>
    </w:pPr>
  </w:style>
  <w:style w:type="paragraph" w:styleId="ListNumber3">
    <w:name w:val="List Number 3"/>
    <w:basedOn w:val="Normal"/>
    <w:semiHidden/>
    <w:rsid w:val="00931A24"/>
    <w:pPr>
      <w:numPr>
        <w:numId w:val="11"/>
      </w:numPr>
    </w:pPr>
  </w:style>
  <w:style w:type="paragraph" w:styleId="ListNumber4">
    <w:name w:val="List Number 4"/>
    <w:basedOn w:val="Normal"/>
    <w:semiHidden/>
    <w:rsid w:val="00931A24"/>
    <w:pPr>
      <w:numPr>
        <w:numId w:val="12"/>
      </w:numPr>
    </w:pPr>
  </w:style>
  <w:style w:type="paragraph" w:styleId="ListNumber5">
    <w:name w:val="List Number 5"/>
    <w:basedOn w:val="Normal"/>
    <w:semiHidden/>
    <w:rsid w:val="00931A24"/>
    <w:pPr>
      <w:numPr>
        <w:numId w:val="13"/>
      </w:numPr>
    </w:pPr>
  </w:style>
  <w:style w:type="paragraph" w:styleId="MessageHeader">
    <w:name w:val="Message Header"/>
    <w:basedOn w:val="Normal"/>
    <w:semiHidden/>
    <w:rsid w:val="00931A24"/>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rsid w:val="00931A24"/>
    <w:rPr>
      <w:rFonts w:ascii="Times New Roman" w:hAnsi="Times New Roman"/>
      <w:sz w:val="24"/>
    </w:rPr>
  </w:style>
  <w:style w:type="paragraph" w:styleId="NormalIndent">
    <w:name w:val="Normal Indent"/>
    <w:basedOn w:val="Normal"/>
    <w:semiHidden/>
    <w:rsid w:val="00931A24"/>
    <w:pPr>
      <w:ind w:left="720"/>
    </w:pPr>
  </w:style>
  <w:style w:type="paragraph" w:styleId="NoteHeading">
    <w:name w:val="Note Heading"/>
    <w:basedOn w:val="Normal"/>
    <w:next w:val="Normal"/>
    <w:semiHidden/>
    <w:rsid w:val="00931A24"/>
  </w:style>
  <w:style w:type="paragraph" w:styleId="PlainText">
    <w:name w:val="Plain Text"/>
    <w:basedOn w:val="Normal"/>
    <w:semiHidden/>
    <w:rsid w:val="00931A24"/>
    <w:rPr>
      <w:rFonts w:ascii="Courier New" w:hAnsi="Courier New" w:cs="Courier New"/>
      <w:sz w:val="20"/>
      <w:szCs w:val="20"/>
    </w:rPr>
  </w:style>
  <w:style w:type="paragraph" w:styleId="Salutation">
    <w:name w:val="Salutation"/>
    <w:basedOn w:val="Normal"/>
    <w:next w:val="Normal"/>
    <w:semiHidden/>
    <w:rsid w:val="00931A24"/>
  </w:style>
  <w:style w:type="paragraph" w:styleId="Signature">
    <w:name w:val="Signature"/>
    <w:basedOn w:val="Normal"/>
    <w:semiHidden/>
    <w:rsid w:val="00931A24"/>
    <w:pPr>
      <w:ind w:left="4252"/>
    </w:pPr>
  </w:style>
  <w:style w:type="character" w:styleId="Strong">
    <w:name w:val="Strong"/>
    <w:basedOn w:val="DefaultParagraphFont"/>
    <w:uiPriority w:val="22"/>
    <w:qFormat/>
    <w:rsid w:val="00931A24"/>
    <w:rPr>
      <w:b/>
      <w:bCs/>
    </w:rPr>
  </w:style>
  <w:style w:type="table" w:styleId="Table3Deffects1">
    <w:name w:val="Table 3D effects 1"/>
    <w:basedOn w:val="TableNormal"/>
    <w:semiHidden/>
    <w:rsid w:val="00931A24"/>
    <w:pPr>
      <w:numPr>
        <w:ilvl w:val="1"/>
        <w:numId w:val="2"/>
      </w:numP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31A24"/>
    <w:pPr>
      <w:numPr>
        <w:ilvl w:val="1"/>
        <w:numId w:val="2"/>
      </w:numP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31A24"/>
    <w:pPr>
      <w:numPr>
        <w:ilvl w:val="1"/>
        <w:numId w:val="2"/>
      </w:numP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31A24"/>
    <w:pPr>
      <w:numPr>
        <w:ilvl w:val="1"/>
        <w:numId w:val="2"/>
      </w:numP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31A24"/>
    <w:pPr>
      <w:numPr>
        <w:ilvl w:val="1"/>
        <w:numId w:val="2"/>
      </w:numP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31A24"/>
    <w:pPr>
      <w:numPr>
        <w:ilvl w:val="1"/>
        <w:numId w:val="2"/>
      </w:numP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31A24"/>
    <w:pPr>
      <w:numPr>
        <w:ilvl w:val="1"/>
        <w:numId w:val="2"/>
      </w:numP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31A24"/>
    <w:pPr>
      <w:numPr>
        <w:ilvl w:val="1"/>
        <w:numId w:val="2"/>
      </w:numP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31A24"/>
    <w:pPr>
      <w:numPr>
        <w:ilvl w:val="1"/>
        <w:numId w:val="2"/>
      </w:numP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31A24"/>
    <w:pPr>
      <w:numPr>
        <w:ilvl w:val="1"/>
        <w:numId w:val="2"/>
      </w:numP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31A24"/>
    <w:pPr>
      <w:numPr>
        <w:ilvl w:val="1"/>
        <w:numId w:val="2"/>
      </w:numP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31A24"/>
    <w:pPr>
      <w:numPr>
        <w:ilvl w:val="1"/>
        <w:numId w:val="2"/>
      </w:numP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31A24"/>
    <w:pPr>
      <w:numPr>
        <w:ilvl w:val="1"/>
        <w:numId w:val="2"/>
      </w:numP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31A24"/>
    <w:pPr>
      <w:numPr>
        <w:ilvl w:val="1"/>
        <w:numId w:val="2"/>
      </w:numP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31A24"/>
    <w:pPr>
      <w:numPr>
        <w:ilvl w:val="1"/>
        <w:numId w:val="2"/>
      </w:numP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31A24"/>
    <w:pPr>
      <w:numPr>
        <w:ilvl w:val="1"/>
        <w:numId w:val="2"/>
      </w:numP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31A24"/>
    <w:pPr>
      <w:numPr>
        <w:ilvl w:val="1"/>
        <w:numId w:val="2"/>
      </w:numP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31A24"/>
    <w:pPr>
      <w:numPr>
        <w:ilvl w:val="1"/>
        <w:numId w:val="2"/>
      </w:numP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31A24"/>
    <w:pPr>
      <w:numPr>
        <w:ilvl w:val="1"/>
        <w:numId w:val="2"/>
      </w:numP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31A24"/>
    <w:pPr>
      <w:numPr>
        <w:ilvl w:val="1"/>
        <w:numId w:val="2"/>
      </w:numP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31A24"/>
    <w:pPr>
      <w:numPr>
        <w:ilvl w:val="1"/>
        <w:numId w:val="2"/>
      </w:numP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31A24"/>
    <w:pPr>
      <w:numPr>
        <w:ilvl w:val="1"/>
        <w:numId w:val="2"/>
      </w:numP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31A24"/>
    <w:pPr>
      <w:numPr>
        <w:ilvl w:val="1"/>
        <w:numId w:val="2"/>
      </w:numP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31A24"/>
    <w:pPr>
      <w:numPr>
        <w:ilvl w:val="1"/>
        <w:numId w:val="2"/>
      </w:numP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31A24"/>
    <w:pPr>
      <w:numPr>
        <w:ilvl w:val="1"/>
        <w:numId w:val="2"/>
      </w:numP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31A24"/>
    <w:pPr>
      <w:numPr>
        <w:ilvl w:val="1"/>
        <w:numId w:val="2"/>
      </w:numP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31A24"/>
    <w:pPr>
      <w:numPr>
        <w:ilvl w:val="1"/>
        <w:numId w:val="2"/>
      </w:numP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31A24"/>
    <w:pPr>
      <w:numPr>
        <w:ilvl w:val="1"/>
        <w:numId w:val="2"/>
      </w:numP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31A24"/>
    <w:pPr>
      <w:numPr>
        <w:ilvl w:val="1"/>
        <w:numId w:val="2"/>
      </w:numP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31A24"/>
    <w:pPr>
      <w:numPr>
        <w:ilvl w:val="1"/>
        <w:numId w:val="2"/>
      </w:numP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31A24"/>
    <w:pPr>
      <w:numPr>
        <w:ilvl w:val="1"/>
        <w:numId w:val="2"/>
      </w:numP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31A24"/>
    <w:pPr>
      <w:numPr>
        <w:ilvl w:val="1"/>
        <w:numId w:val="2"/>
      </w:numP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31A24"/>
    <w:pPr>
      <w:numPr>
        <w:ilvl w:val="1"/>
        <w:numId w:val="2"/>
      </w:numP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31A24"/>
    <w:pPr>
      <w:numPr>
        <w:ilvl w:val="1"/>
        <w:numId w:val="2"/>
      </w:numP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31A24"/>
    <w:pPr>
      <w:numPr>
        <w:ilvl w:val="1"/>
        <w:numId w:val="2"/>
      </w:numP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31A24"/>
    <w:pPr>
      <w:numPr>
        <w:ilvl w:val="1"/>
        <w:numId w:val="2"/>
      </w:numP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Heading1">
    <w:name w:val="No. Heading 1"/>
    <w:basedOn w:val="Heading1"/>
    <w:next w:val="BodyText"/>
    <w:rsid w:val="0039476A"/>
    <w:pPr>
      <w:numPr>
        <w:numId w:val="16"/>
      </w:numPr>
    </w:pPr>
    <w:rPr>
      <w:szCs w:val="24"/>
    </w:rPr>
  </w:style>
  <w:style w:type="paragraph" w:customStyle="1" w:styleId="FooterpageNumber">
    <w:name w:val="Footer page Number"/>
    <w:basedOn w:val="Footer"/>
    <w:rsid w:val="00931A24"/>
    <w:pPr>
      <w:tabs>
        <w:tab w:val="clear" w:pos="9355"/>
      </w:tabs>
      <w:jc w:val="right"/>
    </w:pPr>
  </w:style>
  <w:style w:type="paragraph" w:customStyle="1" w:styleId="NoHeading2">
    <w:name w:val="No. Heading 2"/>
    <w:basedOn w:val="Heading2"/>
    <w:next w:val="BodyText"/>
    <w:rsid w:val="0039476A"/>
    <w:pPr>
      <w:numPr>
        <w:ilvl w:val="1"/>
        <w:numId w:val="16"/>
      </w:numPr>
    </w:pPr>
  </w:style>
  <w:style w:type="paragraph" w:customStyle="1" w:styleId="TableRef">
    <w:name w:val="Table Ref"/>
    <w:basedOn w:val="Normal"/>
    <w:next w:val="BodyText"/>
    <w:rsid w:val="0039476A"/>
    <w:pPr>
      <w:numPr>
        <w:ilvl w:val="4"/>
        <w:numId w:val="16"/>
      </w:numPr>
      <w:spacing w:before="120" w:after="120"/>
    </w:pPr>
    <w:rPr>
      <w:b/>
      <w:sz w:val="20"/>
      <w:szCs w:val="18"/>
    </w:rPr>
  </w:style>
  <w:style w:type="paragraph" w:customStyle="1" w:styleId="FigureRef">
    <w:name w:val="Figure Ref"/>
    <w:basedOn w:val="TableRef"/>
    <w:next w:val="BodyText"/>
    <w:rsid w:val="0039476A"/>
    <w:pPr>
      <w:numPr>
        <w:ilvl w:val="3"/>
      </w:numPr>
    </w:pPr>
  </w:style>
  <w:style w:type="paragraph" w:customStyle="1" w:styleId="Table-Figurenotes">
    <w:name w:val="Table-Figure notes"/>
    <w:basedOn w:val="BodyText"/>
    <w:rsid w:val="0024573F"/>
    <w:pPr>
      <w:spacing w:line="240" w:lineRule="auto"/>
      <w:contextualSpacing/>
    </w:pPr>
    <w:rPr>
      <w:sz w:val="18"/>
      <w:szCs w:val="18"/>
    </w:rPr>
  </w:style>
  <w:style w:type="paragraph" w:customStyle="1" w:styleId="TableHeadingCentre-White">
    <w:name w:val="Table Heading Centre - White"/>
    <w:basedOn w:val="TableHeadingCentre-Black"/>
    <w:rsid w:val="000F52AB"/>
    <w:rPr>
      <w:color w:val="FFFFFF"/>
    </w:rPr>
  </w:style>
  <w:style w:type="paragraph" w:styleId="TOC4">
    <w:name w:val="toc 4"/>
    <w:basedOn w:val="Normal"/>
    <w:next w:val="Normal"/>
    <w:autoRedefine/>
    <w:semiHidden/>
    <w:rsid w:val="00B92EC1"/>
    <w:pPr>
      <w:ind w:left="660"/>
    </w:pPr>
  </w:style>
  <w:style w:type="paragraph" w:customStyle="1" w:styleId="TableHeadingLeft-Black">
    <w:name w:val="Table Heading Left - Black"/>
    <w:basedOn w:val="TableTextLeft"/>
    <w:rsid w:val="000F52AB"/>
    <w:rPr>
      <w:b/>
    </w:rPr>
  </w:style>
  <w:style w:type="paragraph" w:customStyle="1" w:styleId="TableHeadingLeft-White">
    <w:name w:val="Table Heading Left - White"/>
    <w:basedOn w:val="TableHeadingLeft-Black"/>
    <w:rsid w:val="000F52AB"/>
    <w:rPr>
      <w:color w:val="FFFFFF"/>
      <w:lang w:val="en-NZ"/>
    </w:rPr>
  </w:style>
  <w:style w:type="paragraph" w:customStyle="1" w:styleId="TableHeadingCentre">
    <w:name w:val="Table Heading Centre"/>
    <w:basedOn w:val="TableTextCentre"/>
    <w:rsid w:val="008946B9"/>
    <w:rPr>
      <w:b/>
    </w:rPr>
  </w:style>
  <w:style w:type="paragraph" w:customStyle="1" w:styleId="TableHeadingLeft">
    <w:name w:val="Table Heading Left"/>
    <w:basedOn w:val="TableTextLeft"/>
    <w:rsid w:val="008946B9"/>
    <w:rPr>
      <w:b/>
    </w:rPr>
  </w:style>
  <w:style w:type="table" w:customStyle="1" w:styleId="TealAlternatingTable">
    <w:name w:val="Teal Alternating Table"/>
    <w:basedOn w:val="TableNormal"/>
    <w:rsid w:val="005D41EE"/>
    <w:rPr>
      <w:rFonts w:ascii="Arial" w:hAnsi="Arial"/>
    </w:rPr>
    <w:tblPr>
      <w:tblStyleRowBandSize w:val="1"/>
      <w:tblInd w:w="108" w:type="dxa"/>
      <w:tblBorders>
        <w:insideH w:val="single" w:sz="12" w:space="0" w:color="FFFFFF"/>
        <w:insideV w:val="single" w:sz="12" w:space="0" w:color="FFFFFF"/>
      </w:tblBorders>
    </w:tblPr>
    <w:trPr>
      <w:cantSplit/>
    </w:trPr>
    <w:tblStylePr w:type="firstRow">
      <w:rPr>
        <w:b w:val="0"/>
        <w:color w:val="FFFFFF"/>
      </w:rPr>
      <w:tblPr/>
      <w:tcPr>
        <w:shd w:val="clear" w:color="auto" w:fill="0F9AA1"/>
      </w:tcPr>
    </w:tblStylePr>
    <w:tblStylePr w:type="band2Horz">
      <w:rPr>
        <w:rFonts w:ascii="Arial" w:hAnsi="Arial"/>
      </w:rPr>
      <w:tblPr/>
      <w:tcPr>
        <w:shd w:val="clear" w:color="auto" w:fill="B5F6F9"/>
      </w:tcPr>
    </w:tblStylePr>
  </w:style>
  <w:style w:type="table" w:customStyle="1" w:styleId="TealTable">
    <w:name w:val="Teal Table"/>
    <w:basedOn w:val="TableNormal"/>
    <w:rsid w:val="005D41EE"/>
    <w:rPr>
      <w:rFonts w:ascii="Arial" w:hAnsi="Arial"/>
    </w:rPr>
    <w:tblPr>
      <w:tblInd w:w="108" w:type="dxa"/>
      <w:tblBorders>
        <w:top w:val="single" w:sz="4" w:space="0" w:color="0F9AA1"/>
        <w:bottom w:val="single" w:sz="4" w:space="0" w:color="0F9AA1"/>
        <w:insideH w:val="single" w:sz="4" w:space="0" w:color="0F9AA1"/>
      </w:tblBorders>
    </w:tblPr>
    <w:trPr>
      <w:cantSplit/>
    </w:trPr>
    <w:tblStylePr w:type="firstRow">
      <w:rPr>
        <w:rFonts w:ascii="Arial" w:hAnsi="Arial"/>
        <w:color w:val="FFFFFF"/>
        <w:sz w:val="20"/>
      </w:rPr>
      <w:tblPr/>
      <w:tcPr>
        <w:shd w:val="clear" w:color="auto" w:fill="0F9AA1"/>
      </w:tcPr>
    </w:tblStylePr>
  </w:style>
  <w:style w:type="table" w:customStyle="1" w:styleId="TealGridTable">
    <w:name w:val="Teal Grid Table"/>
    <w:basedOn w:val="TableNormal"/>
    <w:rsid w:val="008A3DBC"/>
    <w:rPr>
      <w:rFonts w:ascii="Arial" w:hAnsi="Arial"/>
    </w:rPr>
    <w:tblPr>
      <w:tblInd w:w="108" w:type="dxa"/>
      <w:tblBorders>
        <w:top w:val="single" w:sz="4" w:space="0" w:color="0F9AA1"/>
        <w:left w:val="single" w:sz="4" w:space="0" w:color="0F9AA1"/>
        <w:bottom w:val="single" w:sz="4" w:space="0" w:color="0F9AA1"/>
        <w:right w:val="single" w:sz="4" w:space="0" w:color="0F9AA1"/>
        <w:insideH w:val="single" w:sz="4" w:space="0" w:color="0F9AA1"/>
        <w:insideV w:val="single" w:sz="4" w:space="0" w:color="0F9AA1"/>
      </w:tblBorders>
    </w:tblPr>
    <w:tblStylePr w:type="firstRow">
      <w:rPr>
        <w:color w:val="FFFFFF"/>
      </w:rPr>
      <w:tblPr/>
      <w:tcPr>
        <w:tcBorders>
          <w:insideV w:val="single" w:sz="4" w:space="0" w:color="FFFFFF"/>
        </w:tcBorders>
        <w:shd w:val="clear" w:color="auto" w:fill="0F9AA1"/>
      </w:tcPr>
    </w:tblStylePr>
  </w:style>
  <w:style w:type="paragraph" w:styleId="z-BottomofForm">
    <w:name w:val="HTML Bottom of Form"/>
    <w:basedOn w:val="Normal"/>
    <w:next w:val="Normal"/>
    <w:hidden/>
    <w:rsid w:val="008C1302"/>
    <w:pPr>
      <w:pBdr>
        <w:top w:val="single" w:sz="6" w:space="1" w:color="auto"/>
      </w:pBdr>
      <w:jc w:val="center"/>
    </w:pPr>
    <w:rPr>
      <w:rFonts w:cs="Arial"/>
      <w:vanish/>
      <w:sz w:val="16"/>
      <w:szCs w:val="16"/>
    </w:rPr>
  </w:style>
  <w:style w:type="character" w:customStyle="1" w:styleId="Heading1Char">
    <w:name w:val="Heading 1 Char"/>
    <w:basedOn w:val="DefaultParagraphFont"/>
    <w:link w:val="Heading1"/>
    <w:uiPriority w:val="9"/>
    <w:locked/>
    <w:rsid w:val="00C22D3D"/>
    <w:rPr>
      <w:rFonts w:ascii="Arial" w:hAnsi="Arial"/>
      <w:b/>
      <w:color w:val="ABC494" w:themeColor="accent2"/>
      <w:sz w:val="36"/>
      <w:szCs w:val="36"/>
    </w:rPr>
  </w:style>
  <w:style w:type="character" w:customStyle="1" w:styleId="Heading2Char">
    <w:name w:val="Heading 2 Char"/>
    <w:basedOn w:val="DefaultParagraphFont"/>
    <w:link w:val="Heading2"/>
    <w:locked/>
    <w:rsid w:val="00C22D3D"/>
    <w:rPr>
      <w:rFonts w:ascii="Arial" w:hAnsi="Arial"/>
      <w:color w:val="ABC494" w:themeColor="accent2"/>
      <w:sz w:val="32"/>
      <w:szCs w:val="24"/>
    </w:rPr>
  </w:style>
  <w:style w:type="paragraph" w:styleId="z-TopofForm">
    <w:name w:val="HTML Top of Form"/>
    <w:basedOn w:val="Normal"/>
    <w:next w:val="Normal"/>
    <w:hidden/>
    <w:rsid w:val="008C1302"/>
    <w:pPr>
      <w:pBdr>
        <w:bottom w:val="single" w:sz="6" w:space="1" w:color="auto"/>
      </w:pBdr>
      <w:jc w:val="center"/>
    </w:pPr>
    <w:rPr>
      <w:rFonts w:cs="Arial"/>
      <w:vanish/>
      <w:sz w:val="16"/>
      <w:szCs w:val="16"/>
    </w:rPr>
  </w:style>
  <w:style w:type="character" w:customStyle="1" w:styleId="Heading3Char">
    <w:name w:val="Heading 3 Char"/>
    <w:basedOn w:val="DefaultParagraphFont"/>
    <w:link w:val="Heading3"/>
    <w:locked/>
    <w:rsid w:val="00C22D3D"/>
    <w:rPr>
      <w:rFonts w:ascii="Arial" w:hAnsi="Arial"/>
      <w:b/>
      <w:color w:val="000000" w:themeColor="text1"/>
      <w:sz w:val="28"/>
      <w:szCs w:val="24"/>
    </w:rPr>
  </w:style>
  <w:style w:type="character" w:customStyle="1" w:styleId="BodyTextChar">
    <w:name w:val="Body Text Char"/>
    <w:basedOn w:val="DefaultParagraphFont"/>
    <w:link w:val="BodyText"/>
    <w:locked/>
    <w:rsid w:val="00C54449"/>
    <w:rPr>
      <w:rFonts w:ascii="Arial" w:hAnsi="Arial"/>
      <w:sz w:val="22"/>
      <w:szCs w:val="24"/>
      <w:lang w:val="en-AU" w:eastAsia="en-AU" w:bidi="ar-SA"/>
    </w:rPr>
  </w:style>
  <w:style w:type="paragraph" w:customStyle="1" w:styleId="Bodycopy">
    <w:name w:val="Body copy"/>
    <w:basedOn w:val="Normal"/>
    <w:link w:val="BodycopyChar"/>
    <w:qFormat/>
    <w:rsid w:val="009F7472"/>
  </w:style>
  <w:style w:type="character" w:customStyle="1" w:styleId="BodycopyChar">
    <w:name w:val="Body copy Char"/>
    <w:basedOn w:val="DefaultParagraphFont"/>
    <w:link w:val="Bodycopy"/>
    <w:rsid w:val="009F7472"/>
    <w:rPr>
      <w:rFonts w:ascii="Arial" w:hAnsi="Arial"/>
      <w:sz w:val="22"/>
      <w:szCs w:val="24"/>
    </w:rPr>
  </w:style>
  <w:style w:type="paragraph" w:styleId="BalloonText">
    <w:name w:val="Balloon Text"/>
    <w:basedOn w:val="Normal"/>
    <w:link w:val="BalloonTextChar"/>
    <w:rsid w:val="002040F5"/>
    <w:rPr>
      <w:rFonts w:ascii="Segoe UI" w:hAnsi="Segoe UI" w:cs="Segoe UI"/>
      <w:sz w:val="18"/>
      <w:szCs w:val="18"/>
    </w:rPr>
  </w:style>
  <w:style w:type="character" w:customStyle="1" w:styleId="BalloonTextChar">
    <w:name w:val="Balloon Text Char"/>
    <w:basedOn w:val="DefaultParagraphFont"/>
    <w:link w:val="BalloonText"/>
    <w:uiPriority w:val="99"/>
    <w:rsid w:val="002040F5"/>
    <w:rPr>
      <w:rFonts w:ascii="Segoe UI" w:hAnsi="Segoe UI" w:cs="Segoe UI"/>
      <w:sz w:val="18"/>
      <w:szCs w:val="18"/>
    </w:rPr>
  </w:style>
  <w:style w:type="paragraph" w:customStyle="1" w:styleId="Default">
    <w:name w:val="Default"/>
    <w:rsid w:val="005A11BE"/>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DC0548"/>
    <w:rPr>
      <w:sz w:val="16"/>
      <w:szCs w:val="16"/>
    </w:rPr>
  </w:style>
  <w:style w:type="paragraph" w:styleId="CommentText">
    <w:name w:val="annotation text"/>
    <w:basedOn w:val="Normal"/>
    <w:link w:val="CommentTextChar"/>
    <w:rsid w:val="00DC0548"/>
    <w:rPr>
      <w:sz w:val="20"/>
      <w:szCs w:val="20"/>
    </w:rPr>
  </w:style>
  <w:style w:type="character" w:customStyle="1" w:styleId="CommentTextChar">
    <w:name w:val="Comment Text Char"/>
    <w:basedOn w:val="DefaultParagraphFont"/>
    <w:link w:val="CommentText"/>
    <w:rsid w:val="00DC0548"/>
    <w:rPr>
      <w:rFonts w:ascii="Arial" w:hAnsi="Arial"/>
    </w:rPr>
  </w:style>
  <w:style w:type="paragraph" w:styleId="CommentSubject">
    <w:name w:val="annotation subject"/>
    <w:basedOn w:val="CommentText"/>
    <w:next w:val="CommentText"/>
    <w:link w:val="CommentSubjectChar"/>
    <w:rsid w:val="00DC0548"/>
    <w:rPr>
      <w:b/>
      <w:bCs/>
    </w:rPr>
  </w:style>
  <w:style w:type="character" w:customStyle="1" w:styleId="CommentSubjectChar">
    <w:name w:val="Comment Subject Char"/>
    <w:basedOn w:val="CommentTextChar"/>
    <w:link w:val="CommentSubject"/>
    <w:rsid w:val="00DC0548"/>
    <w:rPr>
      <w:rFonts w:ascii="Arial" w:hAnsi="Arial"/>
      <w:b/>
      <w:bCs/>
    </w:rPr>
  </w:style>
  <w:style w:type="character" w:customStyle="1" w:styleId="TitleChar">
    <w:name w:val="Title Char"/>
    <w:basedOn w:val="DefaultParagraphFont"/>
    <w:link w:val="Title"/>
    <w:rsid w:val="00786831"/>
    <w:rPr>
      <w:rFonts w:ascii="Arial" w:hAnsi="Arial"/>
      <w:b/>
      <w:color w:val="FFFFFF"/>
      <w:sz w:val="48"/>
      <w:szCs w:val="52"/>
      <w:lang w:eastAsia="en-US"/>
    </w:rPr>
  </w:style>
  <w:style w:type="numbering" w:customStyle="1" w:styleId="ListParagraph">
    <w:name w:val="List_Paragraph"/>
    <w:uiPriority w:val="99"/>
    <w:rsid w:val="00786831"/>
    <w:pPr>
      <w:numPr>
        <w:numId w:val="22"/>
      </w:numPr>
    </w:pPr>
  </w:style>
  <w:style w:type="paragraph" w:customStyle="1" w:styleId="AppendixH1">
    <w:name w:val="Appendix H1"/>
    <w:basedOn w:val="Normal"/>
    <w:next w:val="BodyText"/>
    <w:uiPriority w:val="99"/>
    <w:semiHidden/>
    <w:qFormat/>
    <w:rsid w:val="00786831"/>
    <w:pPr>
      <w:pageBreakBefore/>
      <w:numPr>
        <w:numId w:val="20"/>
      </w:numPr>
      <w:tabs>
        <w:tab w:val="left" w:pos="567"/>
      </w:tabs>
      <w:spacing w:before="60" w:after="320"/>
    </w:pPr>
    <w:rPr>
      <w:rFonts w:asciiTheme="minorHAnsi" w:hAnsiTheme="minorHAnsi"/>
      <w:b/>
      <w:sz w:val="36"/>
    </w:rPr>
  </w:style>
  <w:style w:type="paragraph" w:customStyle="1" w:styleId="ListBullet6">
    <w:name w:val="List Bullet 6"/>
    <w:basedOn w:val="ListBullet0"/>
    <w:uiPriority w:val="19"/>
    <w:rsid w:val="00786831"/>
    <w:pPr>
      <w:numPr>
        <w:numId w:val="0"/>
      </w:numPr>
      <w:tabs>
        <w:tab w:val="num" w:pos="284"/>
      </w:tabs>
      <w:ind w:left="284" w:hanging="284"/>
    </w:pPr>
  </w:style>
  <w:style w:type="paragraph" w:customStyle="1" w:styleId="ListParagraph2">
    <w:name w:val="List Paragraph 2"/>
    <w:basedOn w:val="ListParagraph0"/>
    <w:uiPriority w:val="19"/>
    <w:rsid w:val="00786831"/>
    <w:pPr>
      <w:spacing w:line="264" w:lineRule="auto"/>
      <w:ind w:left="567"/>
    </w:pPr>
    <w:rPr>
      <w:rFonts w:asciiTheme="minorHAnsi" w:hAnsiTheme="minorHAnsi"/>
    </w:rPr>
  </w:style>
  <w:style w:type="paragraph" w:customStyle="1" w:styleId="ListParagraph3">
    <w:name w:val="List Paragraph 3"/>
    <w:basedOn w:val="ListParagraph0"/>
    <w:uiPriority w:val="19"/>
    <w:rsid w:val="00786831"/>
    <w:pPr>
      <w:spacing w:line="264" w:lineRule="auto"/>
      <w:ind w:left="851"/>
    </w:pPr>
    <w:rPr>
      <w:rFonts w:asciiTheme="minorHAnsi" w:hAnsiTheme="minorHAnsi"/>
    </w:rPr>
  </w:style>
  <w:style w:type="paragraph" w:customStyle="1" w:styleId="ListParagraph4">
    <w:name w:val="List Paragraph 4"/>
    <w:basedOn w:val="ListParagraph0"/>
    <w:uiPriority w:val="19"/>
    <w:rsid w:val="00786831"/>
    <w:pPr>
      <w:spacing w:line="264" w:lineRule="auto"/>
      <w:ind w:left="1134"/>
    </w:pPr>
    <w:rPr>
      <w:rFonts w:asciiTheme="minorHAnsi" w:hAnsiTheme="minorHAnsi"/>
    </w:rPr>
  </w:style>
  <w:style w:type="paragraph" w:customStyle="1" w:styleId="ListParagraph5">
    <w:name w:val="List Paragraph 5"/>
    <w:basedOn w:val="ListParagraph0"/>
    <w:uiPriority w:val="19"/>
    <w:rsid w:val="00786831"/>
    <w:pPr>
      <w:spacing w:line="264" w:lineRule="auto"/>
      <w:ind w:left="1418"/>
    </w:pPr>
    <w:rPr>
      <w:rFonts w:asciiTheme="minorHAnsi" w:hAnsiTheme="minorHAnsi"/>
    </w:rPr>
  </w:style>
  <w:style w:type="paragraph" w:customStyle="1" w:styleId="ListParagraph6">
    <w:name w:val="List Paragraph 6"/>
    <w:basedOn w:val="ListParagraph0"/>
    <w:uiPriority w:val="19"/>
    <w:rsid w:val="00786831"/>
    <w:pPr>
      <w:spacing w:line="264" w:lineRule="auto"/>
      <w:ind w:left="1701"/>
    </w:pPr>
    <w:rPr>
      <w:rFonts w:asciiTheme="minorHAnsi" w:hAnsiTheme="minorHAnsi"/>
    </w:rPr>
  </w:style>
  <w:style w:type="numbering" w:customStyle="1" w:styleId="ListBullet">
    <w:name w:val="List_Bullet"/>
    <w:uiPriority w:val="99"/>
    <w:rsid w:val="00786831"/>
    <w:pPr>
      <w:numPr>
        <w:numId w:val="21"/>
      </w:numPr>
    </w:pPr>
  </w:style>
  <w:style w:type="table" w:styleId="LightList-Accent1">
    <w:name w:val="Light List Accent 1"/>
    <w:basedOn w:val="TableNormal"/>
    <w:uiPriority w:val="61"/>
    <w:rsid w:val="00786831"/>
    <w:rPr>
      <w:rFonts w:asciiTheme="minorHAnsi" w:eastAsiaTheme="minorHAnsi" w:hAnsiTheme="minorHAnsi" w:cstheme="minorBidi"/>
      <w:sz w:val="22"/>
      <w:szCs w:val="22"/>
      <w:lang w:eastAsia="en-US"/>
    </w:rPr>
    <w:tblPr>
      <w:tblStyleRowBandSize w:val="1"/>
      <w:tblStyleColBandSize w:val="1"/>
      <w:tblBorders>
        <w:top w:val="single" w:sz="8" w:space="0" w:color="E8FF00" w:themeColor="accent1"/>
        <w:left w:val="single" w:sz="8" w:space="0" w:color="E8FF00" w:themeColor="accent1"/>
        <w:bottom w:val="single" w:sz="8" w:space="0" w:color="E8FF00" w:themeColor="accent1"/>
        <w:right w:val="single" w:sz="8" w:space="0" w:color="E8FF00" w:themeColor="accent1"/>
      </w:tblBorders>
    </w:tblPr>
    <w:tblStylePr w:type="firstRow">
      <w:pPr>
        <w:spacing w:before="0" w:after="0" w:line="240" w:lineRule="auto"/>
      </w:pPr>
      <w:rPr>
        <w:b/>
        <w:bCs/>
        <w:color w:val="FFFFFF" w:themeColor="background1"/>
      </w:rPr>
      <w:tblPr/>
      <w:tcPr>
        <w:shd w:val="clear" w:color="auto" w:fill="E8FF00" w:themeFill="accent1"/>
      </w:tcPr>
    </w:tblStylePr>
    <w:tblStylePr w:type="lastRow">
      <w:pPr>
        <w:spacing w:before="0" w:after="0" w:line="240" w:lineRule="auto"/>
      </w:pPr>
      <w:rPr>
        <w:b/>
        <w:bCs/>
      </w:rPr>
      <w:tblPr/>
      <w:tcPr>
        <w:tcBorders>
          <w:top w:val="double" w:sz="6" w:space="0" w:color="E8FF00" w:themeColor="accent1"/>
          <w:left w:val="single" w:sz="8" w:space="0" w:color="E8FF00" w:themeColor="accent1"/>
          <w:bottom w:val="single" w:sz="8" w:space="0" w:color="E8FF00" w:themeColor="accent1"/>
          <w:right w:val="single" w:sz="8" w:space="0" w:color="E8FF00" w:themeColor="accent1"/>
        </w:tcBorders>
      </w:tcPr>
    </w:tblStylePr>
    <w:tblStylePr w:type="firstCol">
      <w:rPr>
        <w:b/>
        <w:bCs/>
      </w:rPr>
    </w:tblStylePr>
    <w:tblStylePr w:type="lastCol">
      <w:rPr>
        <w:b/>
        <w:bCs/>
      </w:rPr>
    </w:tblStylePr>
    <w:tblStylePr w:type="band1Vert">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tblStylePr w:type="band1Horz">
      <w:tblPr/>
      <w:tcPr>
        <w:tcBorders>
          <w:top w:val="single" w:sz="8" w:space="0" w:color="E8FF00" w:themeColor="accent1"/>
          <w:left w:val="single" w:sz="8" w:space="0" w:color="E8FF00" w:themeColor="accent1"/>
          <w:bottom w:val="single" w:sz="8" w:space="0" w:color="E8FF00" w:themeColor="accent1"/>
          <w:right w:val="single" w:sz="8" w:space="0" w:color="E8FF00" w:themeColor="accent1"/>
        </w:tcBorders>
      </w:tcPr>
    </w:tblStylePr>
  </w:style>
  <w:style w:type="character" w:customStyle="1" w:styleId="ListParagraphChar">
    <w:name w:val="List Paragraph Char"/>
    <w:basedOn w:val="DefaultParagraphFont"/>
    <w:link w:val="ListParagraph0"/>
    <w:uiPriority w:val="34"/>
    <w:rsid w:val="00506092"/>
    <w:rPr>
      <w:rFonts w:ascii="Arial" w:hAnsi="Arial"/>
      <w:sz w:val="22"/>
      <w:szCs w:val="24"/>
    </w:rPr>
  </w:style>
  <w:style w:type="paragraph" w:customStyle="1" w:styleId="AAsubsubparaa">
    <w:name w:val="AAsub sub para a"/>
    <w:basedOn w:val="Normal"/>
    <w:rsid w:val="00506092"/>
    <w:pPr>
      <w:numPr>
        <w:ilvl w:val="4"/>
        <w:numId w:val="24"/>
      </w:numPr>
      <w:jc w:val="both"/>
    </w:pPr>
    <w:rPr>
      <w:rFonts w:ascii="Times New Roman" w:hAnsi="Times New Roman"/>
      <w:snapToGrid w:val="0"/>
      <w:sz w:val="24"/>
      <w:szCs w:val="20"/>
      <w:lang w:val="en-US" w:eastAsia="en-US"/>
    </w:rPr>
  </w:style>
  <w:style w:type="paragraph" w:customStyle="1" w:styleId="AAClauseHeading">
    <w:name w:val="AAClause Heading"/>
    <w:basedOn w:val="Normal"/>
    <w:rsid w:val="00506092"/>
    <w:pPr>
      <w:numPr>
        <w:numId w:val="24"/>
      </w:numPr>
      <w:pBdr>
        <w:top w:val="single" w:sz="4" w:space="1" w:color="auto"/>
      </w:pBdr>
      <w:spacing w:before="240" w:after="120"/>
      <w:jc w:val="both"/>
    </w:pPr>
    <w:rPr>
      <w:rFonts w:ascii="Arial Bold" w:hAnsi="Arial Bold"/>
      <w:b/>
      <w:snapToGrid w:val="0"/>
      <w:sz w:val="28"/>
      <w:szCs w:val="28"/>
      <w:lang w:val="en-US" w:eastAsia="en-US"/>
    </w:rPr>
  </w:style>
  <w:style w:type="paragraph" w:customStyle="1" w:styleId="AASubclause">
    <w:name w:val="AASubclause"/>
    <w:basedOn w:val="Normal"/>
    <w:rsid w:val="00506092"/>
    <w:pPr>
      <w:numPr>
        <w:ilvl w:val="1"/>
        <w:numId w:val="24"/>
      </w:numPr>
      <w:spacing w:after="120"/>
      <w:jc w:val="both"/>
    </w:pPr>
    <w:rPr>
      <w:rFonts w:ascii="Times New Roman" w:hAnsi="Times New Roman"/>
      <w:snapToGrid w:val="0"/>
      <w:sz w:val="24"/>
      <w:szCs w:val="20"/>
      <w:lang w:val="en-US" w:eastAsia="en-US"/>
    </w:rPr>
  </w:style>
  <w:style w:type="paragraph" w:customStyle="1" w:styleId="AAParaaChar">
    <w:name w:val="AAPara (a) Char"/>
    <w:basedOn w:val="Normal"/>
    <w:link w:val="AAParaaCharChar"/>
    <w:rsid w:val="00506092"/>
    <w:pPr>
      <w:numPr>
        <w:ilvl w:val="2"/>
        <w:numId w:val="24"/>
      </w:numPr>
      <w:spacing w:after="120"/>
      <w:jc w:val="both"/>
    </w:pPr>
    <w:rPr>
      <w:rFonts w:ascii="Times New Roman" w:hAnsi="Times New Roman"/>
      <w:snapToGrid w:val="0"/>
      <w:sz w:val="24"/>
      <w:szCs w:val="20"/>
      <w:lang w:val="en-US" w:eastAsia="en-US"/>
    </w:rPr>
  </w:style>
  <w:style w:type="paragraph" w:customStyle="1" w:styleId="AAsubparai">
    <w:name w:val="AAsub para (i)"/>
    <w:basedOn w:val="Normal"/>
    <w:rsid w:val="00506092"/>
    <w:pPr>
      <w:numPr>
        <w:ilvl w:val="3"/>
        <w:numId w:val="24"/>
      </w:numPr>
      <w:spacing w:after="120"/>
      <w:jc w:val="both"/>
    </w:pPr>
    <w:rPr>
      <w:rFonts w:ascii="Times New Roman" w:hAnsi="Times New Roman"/>
      <w:snapToGrid w:val="0"/>
      <w:sz w:val="24"/>
      <w:szCs w:val="20"/>
      <w:lang w:val="en-US" w:eastAsia="en-US"/>
    </w:rPr>
  </w:style>
  <w:style w:type="character" w:customStyle="1" w:styleId="AAParaaCharChar">
    <w:name w:val="AAPara (a) Char Char"/>
    <w:link w:val="AAParaaChar"/>
    <w:rsid w:val="00506092"/>
    <w:rPr>
      <w:snapToGrid w:val="0"/>
      <w:sz w:val="24"/>
      <w:lang w:val="en-US" w:eastAsia="en-US"/>
    </w:rPr>
  </w:style>
  <w:style w:type="paragraph" w:customStyle="1" w:styleId="Defns">
    <w:name w:val="Defns"/>
    <w:basedOn w:val="Normal"/>
    <w:rsid w:val="00506092"/>
    <w:pPr>
      <w:spacing w:after="120"/>
      <w:ind w:left="1701"/>
    </w:pPr>
    <w:rPr>
      <w:rFonts w:ascii="Times New Roman" w:hAnsi="Times New Roman"/>
      <w:snapToGrid w:val="0"/>
      <w:sz w:val="24"/>
      <w:szCs w:val="20"/>
      <w:lang w:val="en-US" w:eastAsia="en-US"/>
    </w:rPr>
  </w:style>
  <w:style w:type="paragraph" w:customStyle="1" w:styleId="ColorfulList-Accent11">
    <w:name w:val="Colorful List - Accent 11"/>
    <w:basedOn w:val="Normal"/>
    <w:link w:val="ColorfulList-Accent11Char"/>
    <w:uiPriority w:val="34"/>
    <w:qFormat/>
    <w:rsid w:val="00506092"/>
    <w:pPr>
      <w:overflowPunct w:val="0"/>
      <w:autoSpaceDE w:val="0"/>
      <w:autoSpaceDN w:val="0"/>
      <w:adjustRightInd w:val="0"/>
      <w:ind w:left="720"/>
      <w:textAlignment w:val="baseline"/>
    </w:pPr>
    <w:rPr>
      <w:szCs w:val="20"/>
      <w:lang w:eastAsia="en-US"/>
    </w:rPr>
  </w:style>
  <w:style w:type="paragraph" w:customStyle="1" w:styleId="TableNarrowNumberingC-Level2">
    <w:name w:val="TableNarrowNumberingC - Level 2"/>
    <w:basedOn w:val="Normal"/>
    <w:rsid w:val="00506092"/>
    <w:pPr>
      <w:numPr>
        <w:ilvl w:val="1"/>
        <w:numId w:val="25"/>
      </w:numPr>
      <w:spacing w:before="100"/>
      <w:jc w:val="both"/>
    </w:pPr>
    <w:rPr>
      <w:rFonts w:ascii="Arial Narrow" w:eastAsia="SimSun" w:hAnsi="Arial Narrow" w:cs="Arial Narrow"/>
      <w:sz w:val="20"/>
      <w:szCs w:val="20"/>
      <w:lang w:eastAsia="en-US"/>
    </w:rPr>
  </w:style>
  <w:style w:type="paragraph" w:customStyle="1" w:styleId="TableNarrowNumberingC-Level3">
    <w:name w:val="TableNarrowNumberingC - Level 3"/>
    <w:basedOn w:val="Normal"/>
    <w:rsid w:val="00506092"/>
    <w:pPr>
      <w:numPr>
        <w:ilvl w:val="2"/>
        <w:numId w:val="25"/>
      </w:numPr>
      <w:spacing w:before="100"/>
      <w:jc w:val="both"/>
    </w:pPr>
    <w:rPr>
      <w:rFonts w:ascii="Arial Narrow" w:eastAsia="SimSun" w:hAnsi="Arial Narrow" w:cs="Arial Narrow"/>
      <w:sz w:val="20"/>
      <w:szCs w:val="20"/>
      <w:lang w:eastAsia="en-US"/>
    </w:rPr>
  </w:style>
  <w:style w:type="paragraph" w:customStyle="1" w:styleId="TableNarrowNumberingC-Level1">
    <w:name w:val="TableNarrowNumberingC - Level 1"/>
    <w:basedOn w:val="Normal"/>
    <w:rsid w:val="00506092"/>
    <w:pPr>
      <w:numPr>
        <w:numId w:val="25"/>
      </w:numPr>
      <w:spacing w:before="100" w:after="100"/>
      <w:jc w:val="center"/>
    </w:pPr>
    <w:rPr>
      <w:rFonts w:ascii="Arial Narrow" w:eastAsia="SimSun" w:hAnsi="Arial Narrow" w:cs="Arial Narrow"/>
      <w:sz w:val="20"/>
      <w:szCs w:val="20"/>
      <w:lang w:eastAsia="en-US"/>
    </w:rPr>
  </w:style>
  <w:style w:type="character" w:customStyle="1" w:styleId="ColorfulList-Accent11Char">
    <w:name w:val="Colorful List - Accent 11 Char"/>
    <w:basedOn w:val="DefaultParagraphFont"/>
    <w:link w:val="ColorfulList-Accent11"/>
    <w:uiPriority w:val="34"/>
    <w:rsid w:val="00AA7419"/>
    <w:rPr>
      <w:rFonts w:ascii="Arial" w:hAnsi="Arial"/>
      <w:sz w:val="22"/>
      <w:lang w:eastAsia="en-US"/>
    </w:rPr>
  </w:style>
  <w:style w:type="paragraph" w:customStyle="1" w:styleId="Header1policy">
    <w:name w:val="Header 1 policy"/>
    <w:basedOn w:val="ColorfulList-Accent11"/>
    <w:link w:val="Header1policyChar"/>
    <w:qFormat/>
    <w:rsid w:val="00AA7419"/>
    <w:pPr>
      <w:numPr>
        <w:numId w:val="27"/>
      </w:numPr>
    </w:pPr>
    <w:rPr>
      <w:rFonts w:cs="Arial"/>
      <w:b/>
      <w:sz w:val="28"/>
      <w:szCs w:val="28"/>
    </w:rPr>
  </w:style>
  <w:style w:type="character" w:customStyle="1" w:styleId="Header1policyChar">
    <w:name w:val="Header 1 policy Char"/>
    <w:basedOn w:val="ColorfulList-Accent11Char"/>
    <w:link w:val="Header1policy"/>
    <w:rsid w:val="00AA7419"/>
    <w:rPr>
      <w:rFonts w:ascii="Arial" w:hAnsi="Arial" w:cs="Arial"/>
      <w:b/>
      <w:sz w:val="28"/>
      <w:szCs w:val="28"/>
      <w:lang w:eastAsia="en-US"/>
    </w:rPr>
  </w:style>
  <w:style w:type="character" w:customStyle="1" w:styleId="HeaderChar">
    <w:name w:val="Header Char"/>
    <w:link w:val="Header"/>
    <w:rsid w:val="00AA7419"/>
    <w:rPr>
      <w:rFonts w:ascii="Arial" w:hAnsi="Arial"/>
      <w:sz w:val="22"/>
      <w:szCs w:val="24"/>
    </w:rPr>
  </w:style>
  <w:style w:type="character" w:customStyle="1" w:styleId="FooterChar">
    <w:name w:val="Footer Char"/>
    <w:link w:val="Footer"/>
    <w:uiPriority w:val="99"/>
    <w:rsid w:val="00AA7419"/>
    <w:rPr>
      <w:rFonts w:ascii="Arial" w:hAnsi="Arial"/>
      <w:b/>
      <w:color w:val="635D63"/>
      <w:sz w:val="18"/>
      <w:szCs w:val="18"/>
    </w:rPr>
  </w:style>
  <w:style w:type="character" w:styleId="PageNumber">
    <w:name w:val="page number"/>
    <w:rsid w:val="00AA7419"/>
  </w:style>
  <w:style w:type="character" w:customStyle="1" w:styleId="BodyTextIndentChar">
    <w:name w:val="Body Text Indent Char"/>
    <w:link w:val="BodyTextIndent"/>
    <w:rsid w:val="00AA7419"/>
    <w:rPr>
      <w:rFonts w:ascii="Arial" w:hAnsi="Arial"/>
      <w:sz w:val="22"/>
      <w:szCs w:val="24"/>
    </w:rPr>
  </w:style>
  <w:style w:type="paragraph" w:customStyle="1" w:styleId="Char2">
    <w:name w:val="Char2"/>
    <w:basedOn w:val="Normal"/>
    <w:rsid w:val="00AA7419"/>
    <w:rPr>
      <w:rFonts w:cs="Arial"/>
      <w:szCs w:val="22"/>
      <w:lang w:eastAsia="en-US"/>
    </w:rPr>
  </w:style>
  <w:style w:type="paragraph" w:styleId="TOC1">
    <w:name w:val="toc 1"/>
    <w:basedOn w:val="Normal"/>
    <w:next w:val="Normal"/>
    <w:autoRedefine/>
    <w:rsid w:val="00AA7419"/>
    <w:pPr>
      <w:tabs>
        <w:tab w:val="left" w:pos="567"/>
        <w:tab w:val="right" w:leader="dot" w:pos="7938"/>
      </w:tabs>
      <w:spacing w:before="120" w:after="120"/>
      <w:ind w:left="567" w:hanging="567"/>
    </w:pPr>
    <w:rPr>
      <w:i/>
      <w:noProof/>
      <w:sz w:val="24"/>
    </w:rPr>
  </w:style>
  <w:style w:type="paragraph" w:customStyle="1" w:styleId="Normal-ArialCharCharCharChar">
    <w:name w:val="Normal - Arial Char Char Char Char"/>
    <w:basedOn w:val="Default"/>
    <w:next w:val="Default"/>
    <w:rsid w:val="00AA7419"/>
    <w:rPr>
      <w:rFonts w:eastAsia="SimSun" w:cs="Times New Roman"/>
      <w:color w:val="auto"/>
      <w:lang w:eastAsia="zh-CN"/>
    </w:rPr>
  </w:style>
  <w:style w:type="character" w:customStyle="1" w:styleId="FootnoteTextChar">
    <w:name w:val="Footnote Text Char"/>
    <w:link w:val="FootnoteText"/>
    <w:semiHidden/>
    <w:rsid w:val="00AA7419"/>
    <w:rPr>
      <w:rFonts w:ascii="Arial" w:hAnsi="Arial"/>
      <w:sz w:val="16"/>
    </w:rPr>
  </w:style>
  <w:style w:type="paragraph" w:customStyle="1" w:styleId="CharCharCharCharCharCharChar">
    <w:name w:val="Char Char Char Char Char Char Char"/>
    <w:basedOn w:val="Normal"/>
    <w:rsid w:val="00AA7419"/>
    <w:pPr>
      <w:keepNext/>
      <w:numPr>
        <w:ilvl w:val="12"/>
      </w:numPr>
      <w:spacing w:after="160" w:line="240" w:lineRule="exact"/>
      <w:ind w:left="540" w:firstLine="6"/>
    </w:pPr>
    <w:rPr>
      <w:rFonts w:ascii="Verdana" w:hAnsi="Verdana" w:cs="Arial"/>
      <w:bCs/>
      <w:sz w:val="20"/>
      <w:szCs w:val="22"/>
      <w:lang w:val="en-US" w:eastAsia="en-US"/>
    </w:rPr>
  </w:style>
  <w:style w:type="paragraph" w:customStyle="1" w:styleId="CharCharCharChar">
    <w:name w:val="Char Char Char Char"/>
    <w:basedOn w:val="Normal"/>
    <w:rsid w:val="00AA7419"/>
    <w:rPr>
      <w:rFonts w:ascii="Times New Roman" w:hAnsi="Times New Roman" w:cs="Arial"/>
      <w:b/>
      <w:sz w:val="24"/>
      <w:lang w:eastAsia="en-US"/>
    </w:rPr>
  </w:style>
  <w:style w:type="paragraph" w:customStyle="1" w:styleId="DefaultParagraphFontParaChar">
    <w:name w:val="Default Paragraph Font Para Char"/>
    <w:basedOn w:val="Normal"/>
    <w:rsid w:val="00AA7419"/>
    <w:rPr>
      <w:szCs w:val="20"/>
      <w:lang w:eastAsia="en-US"/>
    </w:rPr>
  </w:style>
  <w:style w:type="character" w:customStyle="1" w:styleId="AAParaaCharCharChar">
    <w:name w:val="AAPara (a) Char Char Char"/>
    <w:rsid w:val="00AA7419"/>
    <w:rPr>
      <w:snapToGrid w:val="0"/>
      <w:sz w:val="24"/>
      <w:lang w:val="en-US" w:eastAsia="en-US" w:bidi="ar-SA"/>
    </w:rPr>
  </w:style>
  <w:style w:type="character" w:customStyle="1" w:styleId="ms-rtecustom-bodytext1">
    <w:name w:val="ms-rtecustom-bodytext1"/>
    <w:rsid w:val="00AA7419"/>
    <w:rPr>
      <w:rFonts w:ascii="Verdana" w:hAnsi="Verdana" w:hint="default"/>
      <w:color w:val="000000"/>
      <w:sz w:val="24"/>
      <w:szCs w:val="24"/>
    </w:rPr>
  </w:style>
  <w:style w:type="paragraph" w:customStyle="1" w:styleId="Char1">
    <w:name w:val="Char1"/>
    <w:basedOn w:val="Normal"/>
    <w:rsid w:val="00AA7419"/>
    <w:rPr>
      <w:rFonts w:cs="Arial"/>
      <w:szCs w:val="22"/>
      <w:lang w:eastAsia="en-US"/>
    </w:rPr>
  </w:style>
  <w:style w:type="paragraph" w:customStyle="1" w:styleId="Char">
    <w:name w:val="Char"/>
    <w:basedOn w:val="Normal"/>
    <w:rsid w:val="00AA7419"/>
    <w:rPr>
      <w:rFonts w:ascii="Times New Roman" w:hAnsi="Times New Roman" w:cs="Arial"/>
      <w:b/>
      <w:sz w:val="24"/>
      <w:lang w:eastAsia="en-US"/>
    </w:rPr>
  </w:style>
  <w:style w:type="paragraph" w:customStyle="1" w:styleId="Normalnumbered">
    <w:name w:val="Normal numbered"/>
    <w:basedOn w:val="Normal"/>
    <w:link w:val="NormalnumberedChar"/>
    <w:rsid w:val="00AA7419"/>
    <w:pPr>
      <w:numPr>
        <w:numId w:val="29"/>
      </w:numPr>
      <w:spacing w:after="240" w:line="260" w:lineRule="exact"/>
      <w:jc w:val="both"/>
    </w:pPr>
    <w:rPr>
      <w:rFonts w:ascii="Corbel" w:hAnsi="Corbel"/>
      <w:color w:val="000000"/>
      <w:sz w:val="23"/>
      <w:szCs w:val="20"/>
    </w:rPr>
  </w:style>
  <w:style w:type="character" w:customStyle="1" w:styleId="NormalnumberedChar">
    <w:name w:val="Normal numbered Char"/>
    <w:link w:val="Normalnumbered"/>
    <w:locked/>
    <w:rsid w:val="00AA7419"/>
    <w:rPr>
      <w:rFonts w:ascii="Corbel" w:hAnsi="Corbel"/>
      <w:color w:val="000000"/>
      <w:sz w:val="23"/>
    </w:rPr>
  </w:style>
  <w:style w:type="paragraph" w:customStyle="1" w:styleId="AppendixHeading">
    <w:name w:val="AppendixHeading"/>
    <w:rsid w:val="00AA7419"/>
    <w:pPr>
      <w:pageBreakBefore/>
      <w:numPr>
        <w:numId w:val="30"/>
      </w:numPr>
      <w:pBdr>
        <w:bottom w:val="single" w:sz="4" w:space="1" w:color="auto"/>
      </w:pBdr>
      <w:spacing w:after="240"/>
      <w:outlineLvl w:val="0"/>
    </w:pPr>
    <w:rPr>
      <w:rFonts w:ascii="Arial" w:hAnsi="Arial" w:cs="Arial"/>
      <w:b/>
      <w:bCs/>
      <w:lang w:val="en-US" w:eastAsia="en-US"/>
    </w:rPr>
  </w:style>
  <w:style w:type="paragraph" w:customStyle="1" w:styleId="AppendixSubheading">
    <w:name w:val="AppendixSubheading"/>
    <w:rsid w:val="00AA7419"/>
    <w:pPr>
      <w:pageBreakBefore/>
      <w:widowControl w:val="0"/>
      <w:numPr>
        <w:ilvl w:val="1"/>
        <w:numId w:val="30"/>
      </w:numPr>
      <w:pBdr>
        <w:bottom w:val="single" w:sz="4" w:space="1" w:color="auto"/>
      </w:pBdr>
      <w:spacing w:before="120" w:after="120"/>
    </w:pPr>
    <w:rPr>
      <w:rFonts w:ascii="Arial" w:hAnsi="Arial" w:cs="Arial"/>
      <w:b/>
      <w:bCs/>
      <w:lang w:val="en-US" w:eastAsia="en-US"/>
    </w:rPr>
  </w:style>
  <w:style w:type="paragraph" w:customStyle="1" w:styleId="AppendixNumberedText1">
    <w:name w:val="AppendixNumberedText1"/>
    <w:rsid w:val="00AA7419"/>
    <w:pPr>
      <w:numPr>
        <w:ilvl w:val="3"/>
        <w:numId w:val="30"/>
      </w:numPr>
      <w:spacing w:before="120"/>
      <w:jc w:val="both"/>
    </w:pPr>
    <w:rPr>
      <w:rFonts w:ascii="Arial" w:hAnsi="Arial" w:cs="Arial"/>
      <w:lang w:eastAsia="en-US"/>
    </w:rPr>
  </w:style>
  <w:style w:type="paragraph" w:customStyle="1" w:styleId="AppendixNumberedText2">
    <w:name w:val="AppendixNumberedText2"/>
    <w:rsid w:val="00AA7419"/>
    <w:pPr>
      <w:numPr>
        <w:ilvl w:val="4"/>
        <w:numId w:val="30"/>
      </w:numPr>
      <w:spacing w:before="120"/>
      <w:jc w:val="both"/>
    </w:pPr>
    <w:rPr>
      <w:rFonts w:ascii="Arial" w:hAnsi="Arial" w:cs="Arial"/>
      <w:lang w:eastAsia="en-US"/>
    </w:rPr>
  </w:style>
  <w:style w:type="paragraph" w:customStyle="1" w:styleId="AppendixItem">
    <w:name w:val="AppendixItem"/>
    <w:rsid w:val="00AA7419"/>
    <w:pPr>
      <w:keepNext/>
      <w:numPr>
        <w:ilvl w:val="2"/>
        <w:numId w:val="30"/>
      </w:numPr>
      <w:spacing w:before="240" w:after="240"/>
    </w:pPr>
    <w:rPr>
      <w:rFonts w:ascii="Arial" w:hAnsi="Arial" w:cs="Arial"/>
      <w:b/>
      <w:bCs/>
      <w:sz w:val="24"/>
      <w:szCs w:val="24"/>
      <w:lang w:eastAsia="en-US"/>
    </w:rPr>
  </w:style>
  <w:style w:type="paragraph" w:customStyle="1" w:styleId="AppendixText1">
    <w:name w:val="AppendixText1"/>
    <w:link w:val="AppendixText1Char"/>
    <w:rsid w:val="00AA7419"/>
    <w:pPr>
      <w:spacing w:before="120" w:after="120"/>
      <w:jc w:val="both"/>
    </w:pPr>
    <w:rPr>
      <w:rFonts w:ascii="Arial" w:eastAsia="SimSun" w:hAnsi="Arial" w:cs="Arial"/>
      <w:lang w:eastAsia="en-US"/>
    </w:rPr>
  </w:style>
  <w:style w:type="character" w:customStyle="1" w:styleId="AppendixText1Char">
    <w:name w:val="AppendixText1 Char"/>
    <w:link w:val="AppendixText1"/>
    <w:locked/>
    <w:rsid w:val="00AA7419"/>
    <w:rPr>
      <w:rFonts w:ascii="Arial" w:eastAsia="SimSun" w:hAnsi="Arial" w:cs="Arial"/>
      <w:lang w:eastAsia="en-US"/>
    </w:rPr>
  </w:style>
  <w:style w:type="paragraph" w:customStyle="1" w:styleId="Pa8">
    <w:name w:val="Pa8"/>
    <w:basedOn w:val="Default"/>
    <w:next w:val="Default"/>
    <w:uiPriority w:val="99"/>
    <w:rsid w:val="00AA7419"/>
    <w:pPr>
      <w:spacing w:line="191" w:lineRule="atLeast"/>
    </w:pPr>
    <w:rPr>
      <w:rFonts w:ascii="Meta Medium LF" w:hAnsi="Meta Medium LF" w:cs="Times New Roman"/>
      <w:color w:val="auto"/>
    </w:rPr>
  </w:style>
  <w:style w:type="paragraph" w:customStyle="1" w:styleId="Pa4">
    <w:name w:val="Pa4"/>
    <w:basedOn w:val="Default"/>
    <w:next w:val="Default"/>
    <w:uiPriority w:val="99"/>
    <w:rsid w:val="00AA7419"/>
    <w:pPr>
      <w:spacing w:line="181" w:lineRule="atLeast"/>
    </w:pPr>
    <w:rPr>
      <w:rFonts w:ascii="Meta Medium LF" w:hAnsi="Meta Medium LF" w:cs="Times New Roman"/>
      <w:color w:val="auto"/>
    </w:rPr>
  </w:style>
  <w:style w:type="character" w:customStyle="1" w:styleId="A9">
    <w:name w:val="A9"/>
    <w:uiPriority w:val="99"/>
    <w:rsid w:val="00AA7419"/>
    <w:rPr>
      <w:rFonts w:ascii="Meta Normal LF" w:hAnsi="Meta Normal LF" w:cs="Meta Normal LF"/>
      <w:color w:val="000000"/>
      <w:sz w:val="18"/>
      <w:szCs w:val="18"/>
      <w:u w:val="single"/>
    </w:rPr>
  </w:style>
  <w:style w:type="paragraph" w:styleId="TOC6">
    <w:name w:val="toc 6"/>
    <w:basedOn w:val="Normal"/>
    <w:next w:val="Normal"/>
    <w:autoRedefine/>
    <w:rsid w:val="00AA7419"/>
    <w:pPr>
      <w:spacing w:after="100"/>
      <w:ind w:left="1200"/>
    </w:pPr>
    <w:rPr>
      <w:sz w:val="24"/>
    </w:rPr>
  </w:style>
  <w:style w:type="paragraph" w:customStyle="1" w:styleId="UCTableTextonly">
    <w:name w:val="UC Table Text only"/>
    <w:basedOn w:val="Normal"/>
    <w:rsid w:val="00AA7419"/>
    <w:pPr>
      <w:spacing w:before="100"/>
    </w:pPr>
    <w:rPr>
      <w:sz w:val="20"/>
      <w:lang w:eastAsia="en-US"/>
    </w:rPr>
  </w:style>
  <w:style w:type="paragraph" w:customStyle="1" w:styleId="TableColumnHeading">
    <w:name w:val="TableColumnHeading"/>
    <w:rsid w:val="00AA7419"/>
    <w:pPr>
      <w:spacing w:before="120" w:after="120"/>
      <w:jc w:val="center"/>
    </w:pPr>
    <w:rPr>
      <w:rFonts w:ascii="Arial Narrow" w:hAnsi="Arial Narrow" w:cs="Arial Narrow"/>
      <w:b/>
      <w:bCs/>
      <w:lang w:eastAsia="en-US"/>
    </w:rPr>
  </w:style>
  <w:style w:type="paragraph" w:customStyle="1" w:styleId="TableNarrowText">
    <w:name w:val="TableNarrowText"/>
    <w:rsid w:val="00AA7419"/>
    <w:pPr>
      <w:spacing w:before="100" w:after="100"/>
      <w:jc w:val="both"/>
    </w:pPr>
    <w:rPr>
      <w:rFonts w:ascii="Arial Narrow" w:hAnsi="Arial Narrow" w:cs="Arial Narrow"/>
      <w:lang w:eastAsia="en-US"/>
    </w:rPr>
  </w:style>
  <w:style w:type="paragraph" w:customStyle="1" w:styleId="LetterSub-Paragraph2">
    <w:name w:val="Letter Sub-Paragraph 2"/>
    <w:basedOn w:val="Normal"/>
    <w:rsid w:val="00AA7419"/>
    <w:rPr>
      <w:rFonts w:ascii="Times New Roman" w:eastAsia="SimSun" w:hAnsi="Times New Roman"/>
      <w:sz w:val="24"/>
      <w:lang w:eastAsia="en-US"/>
    </w:rPr>
  </w:style>
  <w:style w:type="paragraph" w:customStyle="1" w:styleId="TableNarrowNumberingB-Level2">
    <w:name w:val="TableNarrowNumberingB - Level 2"/>
    <w:basedOn w:val="TableNarrowText"/>
    <w:rsid w:val="00AA7419"/>
    <w:pPr>
      <w:numPr>
        <w:ilvl w:val="1"/>
        <w:numId w:val="31"/>
      </w:numPr>
    </w:pPr>
    <w:rPr>
      <w:rFonts w:eastAsia="SimSun"/>
    </w:rPr>
  </w:style>
  <w:style w:type="paragraph" w:customStyle="1" w:styleId="TableNarrowNumberingB-Level1">
    <w:name w:val="TableNarrowNumberingB - Level 1"/>
    <w:basedOn w:val="TableNarrowText"/>
    <w:rsid w:val="00AA7419"/>
    <w:pPr>
      <w:numPr>
        <w:numId w:val="31"/>
      </w:numPr>
    </w:pPr>
    <w:rPr>
      <w:rFonts w:eastAsia="SimSun"/>
      <w:b/>
      <w:bCs/>
    </w:rPr>
  </w:style>
  <w:style w:type="paragraph" w:customStyle="1" w:styleId="TableNarrowNumberingB-Level3">
    <w:name w:val="TableNarrowNumberingB - Level 3"/>
    <w:basedOn w:val="TableNarrowText"/>
    <w:rsid w:val="00AA7419"/>
    <w:pPr>
      <w:numPr>
        <w:ilvl w:val="2"/>
        <w:numId w:val="31"/>
      </w:numPr>
    </w:pPr>
    <w:rPr>
      <w:rFonts w:eastAsia="SimSun"/>
    </w:rPr>
  </w:style>
  <w:style w:type="paragraph" w:customStyle="1" w:styleId="TableNarrowNumberingB-Level4">
    <w:name w:val="TableNarrowNumberingB - Level 4"/>
    <w:rsid w:val="00AA7419"/>
    <w:pPr>
      <w:numPr>
        <w:ilvl w:val="3"/>
        <w:numId w:val="31"/>
      </w:numPr>
      <w:spacing w:before="120" w:after="120"/>
    </w:pPr>
    <w:rPr>
      <w:rFonts w:ascii="Arial Narrow" w:eastAsia="SimSun" w:hAnsi="Arial Narrow" w:cs="Arial Narrow"/>
      <w:lang w:eastAsia="en-US"/>
    </w:rPr>
  </w:style>
  <w:style w:type="paragraph" w:customStyle="1" w:styleId="appendixnumberedtext10">
    <w:name w:val="appendixnumberedtext1"/>
    <w:basedOn w:val="Normal"/>
    <w:rsid w:val="00AA7419"/>
    <w:pPr>
      <w:spacing w:before="120"/>
      <w:ind w:left="567" w:hanging="567"/>
      <w:jc w:val="both"/>
    </w:pPr>
    <w:rPr>
      <w:rFonts w:eastAsia="Calibri" w:cs="Arial"/>
      <w:sz w:val="20"/>
      <w:szCs w:val="20"/>
    </w:rPr>
  </w:style>
  <w:style w:type="paragraph" w:customStyle="1" w:styleId="MediumGrid21">
    <w:name w:val="Medium Grid 21"/>
    <w:uiPriority w:val="1"/>
    <w:qFormat/>
    <w:rsid w:val="00AA7419"/>
    <w:rPr>
      <w:rFonts w:ascii="Calibri" w:eastAsia="Calibri" w:hAnsi="Calibri"/>
      <w:sz w:val="22"/>
      <w:szCs w:val="22"/>
      <w:lang w:eastAsia="en-US"/>
    </w:rPr>
  </w:style>
  <w:style w:type="paragraph" w:customStyle="1" w:styleId="p1">
    <w:name w:val="p1"/>
    <w:basedOn w:val="Normal"/>
    <w:rsid w:val="00AA7419"/>
    <w:pPr>
      <w:spacing w:before="100" w:beforeAutospacing="1" w:after="100" w:afterAutospacing="1"/>
    </w:pPr>
    <w:rPr>
      <w:rFonts w:ascii="Times New Roman" w:hAnsi="Times New Roman"/>
      <w:sz w:val="24"/>
      <w:lang w:eastAsia="zh-CN"/>
    </w:rPr>
  </w:style>
  <w:style w:type="paragraph" w:customStyle="1" w:styleId="paragraph">
    <w:name w:val="paragraph"/>
    <w:basedOn w:val="Normal"/>
    <w:rsid w:val="00AA7419"/>
    <w:pPr>
      <w:spacing w:before="100" w:beforeAutospacing="1" w:after="100" w:afterAutospacing="1"/>
    </w:pPr>
    <w:rPr>
      <w:rFonts w:ascii="Times New Roman" w:hAnsi="Times New Roman"/>
      <w:sz w:val="24"/>
      <w:lang w:eastAsia="zh-CN"/>
    </w:rPr>
  </w:style>
  <w:style w:type="paragraph" w:customStyle="1" w:styleId="definition">
    <w:name w:val="definition"/>
    <w:basedOn w:val="Normal"/>
    <w:rsid w:val="00AA7419"/>
    <w:pPr>
      <w:spacing w:before="100" w:beforeAutospacing="1" w:after="100" w:afterAutospacing="1"/>
    </w:pPr>
    <w:rPr>
      <w:rFonts w:ascii="Times New Roman" w:hAnsi="Times New Roman"/>
      <w:sz w:val="24"/>
      <w:lang w:eastAsia="zh-CN"/>
    </w:rPr>
  </w:style>
  <w:style w:type="paragraph" w:styleId="Revision">
    <w:name w:val="Revision"/>
    <w:hidden/>
    <w:uiPriority w:val="71"/>
    <w:rsid w:val="00AA7419"/>
    <w:rPr>
      <w:rFonts w:ascii="Arial" w:eastAsia="MS Mincho" w:hAnsi="Arial"/>
      <w:lang w:eastAsia="ja-JP"/>
    </w:rPr>
  </w:style>
  <w:style w:type="character" w:customStyle="1" w:styleId="TableTextHighlight">
    <w:name w:val="TableTextHighlight"/>
    <w:basedOn w:val="DefaultParagraphFont"/>
    <w:rsid w:val="00AA7419"/>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ining.qld.gov.au/community-organisations/funded-programs/sqw/index.html" TargetMode="External"/><Relationship Id="rId13" Type="http://schemas.openxmlformats.org/officeDocument/2006/relationships/hyperlink" Target="https://desbt.qld.gov.au/training/providers/inclusive/resources" TargetMode="External"/><Relationship Id="rId18" Type="http://schemas.openxmlformats.org/officeDocument/2006/relationships/hyperlink" Target="http://www.desbt.qld.gov.au/training/apprentices/manage/aiss"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desbt.qld.gov.au/training/providers/inclusive" TargetMode="External"/><Relationship Id="rId7" Type="http://schemas.openxmlformats.org/officeDocument/2006/relationships/endnotes" Target="endnotes.xml"/><Relationship Id="rId12" Type="http://schemas.openxmlformats.org/officeDocument/2006/relationships/hyperlink" Target="https://desbt.qld.gov.au/training/providers/inclusive/framework" TargetMode="External"/><Relationship Id="rId17" Type="http://schemas.openxmlformats.org/officeDocument/2006/relationships/hyperlink" Target="http://www.ncver.edu.a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trainandemploy.qld.gov.au/tol" TargetMode="External"/><Relationship Id="rId20" Type="http://schemas.openxmlformats.org/officeDocument/2006/relationships/hyperlink" Target="http://www.desbt.qld.gov.au/train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bt.qld.gov.au/training/apprentices/manage/ais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ontractmanagement@desbt.qld.gov.au"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ncver.edu.au" TargetMode="External"/><Relationship Id="rId19" Type="http://schemas.openxmlformats.org/officeDocument/2006/relationships/hyperlink" Target="http://www.homeaffairs.gov.au" TargetMode="External"/><Relationship Id="rId4" Type="http://schemas.openxmlformats.org/officeDocument/2006/relationships/settings" Target="settings.xml"/><Relationship Id="rId9" Type="http://schemas.openxmlformats.org/officeDocument/2006/relationships/hyperlink" Target="http://www.desbt.qld.gov.au/training" TargetMode="External"/><Relationship Id="rId14" Type="http://schemas.openxmlformats.org/officeDocument/2006/relationships/hyperlink" Target="https://desbt.qld.gov.au/training/providers/inclusive/disability/support"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ESBT">
      <a:dk1>
        <a:sysClr val="windowText" lastClr="000000"/>
      </a:dk1>
      <a:lt1>
        <a:sysClr val="window" lastClr="FFFFFF"/>
      </a:lt1>
      <a:dk2>
        <a:srgbClr val="44546A"/>
      </a:dk2>
      <a:lt2>
        <a:srgbClr val="E7E6E6"/>
      </a:lt2>
      <a:accent1>
        <a:srgbClr val="E8FF00"/>
      </a:accent1>
      <a:accent2>
        <a:srgbClr val="ABC494"/>
      </a:accent2>
      <a:accent3>
        <a:srgbClr val="C2D1A8"/>
      </a:accent3>
      <a:accent4>
        <a:srgbClr val="E3EDDB"/>
      </a:accent4>
      <a:accent5>
        <a:srgbClr val="8AC7D4"/>
      </a:accent5>
      <a:accent6>
        <a:srgbClr val="00809E"/>
      </a:accent6>
      <a:hlink>
        <a:srgbClr val="00809E"/>
      </a:hlink>
      <a:folHlink>
        <a:srgbClr val="8AC7D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9F401-7360-4CC8-9155-E2207E44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8690</Words>
  <Characters>51358</Characters>
  <Application>Microsoft Office Word</Application>
  <DocSecurity>0</DocSecurity>
  <Lines>1252</Lines>
  <Paragraphs>594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Pre-qualified Supplier Policy 2019-20 for Queensland VET Investment Programs (effective 1 July 2019)</dc:title>
  <dc:creator/>
  <cp:lastModifiedBy/>
  <cp:revision>1</cp:revision>
  <dcterms:created xsi:type="dcterms:W3CDTF">2019-07-31T05:40:00Z</dcterms:created>
  <dcterms:modified xsi:type="dcterms:W3CDTF">2019-07-31T05:41:00Z</dcterms:modified>
</cp:coreProperties>
</file>