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5813" w14:textId="77777777" w:rsidR="00B71B92" w:rsidRPr="009B126E" w:rsidRDefault="007D2140" w:rsidP="009B126E">
      <w:pPr>
        <w:pStyle w:val="Heading1"/>
        <w:ind w:left="851" w:hanging="851"/>
        <w:rPr>
          <w:rFonts w:eastAsia="Arial"/>
          <w:sz w:val="32"/>
          <w:szCs w:val="28"/>
        </w:rPr>
      </w:pPr>
      <w:bookmarkStart w:id="0" w:name="_Toc270846599"/>
      <w:bookmarkStart w:id="1" w:name="_Toc275283084"/>
      <w:r w:rsidRPr="009B126E">
        <w:rPr>
          <w:rFonts w:eastAsia="Arial"/>
          <w:sz w:val="32"/>
          <w:szCs w:val="28"/>
        </w:rPr>
        <w:t>Introduction</w:t>
      </w:r>
    </w:p>
    <w:p w14:paraId="39535814" w14:textId="77777777" w:rsidR="00B73395" w:rsidRDefault="007D2140" w:rsidP="00982C0F">
      <w:pPr>
        <w:pStyle w:val="Bodycopy"/>
        <w:spacing w:after="120"/>
        <w:jc w:val="both"/>
        <w:rPr>
          <w:rFonts w:cs="Arial"/>
          <w:szCs w:val="22"/>
        </w:rPr>
      </w:pPr>
      <w:r>
        <w:rPr>
          <w:rFonts w:cs="Arial"/>
          <w:szCs w:val="22"/>
        </w:rPr>
        <w:t>The Queensland Government is committed to creating pathways to support youth in the workforce through skilling, educating, training and employment opportunities, aimed at meeting both current and future workforce needs in Queensland.</w:t>
      </w:r>
    </w:p>
    <w:p w14:paraId="39535815" w14:textId="77777777" w:rsidR="00B73395" w:rsidRDefault="007D2140" w:rsidP="00CA2E72">
      <w:pPr>
        <w:pStyle w:val="Bodycopy"/>
        <w:spacing w:after="120"/>
        <w:jc w:val="both"/>
        <w:rPr>
          <w:rFonts w:cs="Arial"/>
          <w:szCs w:val="22"/>
          <w:lang w:val="en-US"/>
        </w:rPr>
      </w:pPr>
      <w:r w:rsidRPr="00E42104">
        <w:rPr>
          <w:rFonts w:cs="Arial"/>
          <w:szCs w:val="22"/>
        </w:rPr>
        <w:t>The Gateway to Industry Schools Program (GISP) builds partnerships between schools and industry to enable young people to acquire the knowledge, skills and attributes to participate effectively in the Queensland economy</w:t>
      </w:r>
      <w:r w:rsidRPr="00E42104">
        <w:rPr>
          <w:rFonts w:cs="Arial"/>
          <w:szCs w:val="22"/>
          <w:lang w:val="en-US"/>
        </w:rPr>
        <w:t>.</w:t>
      </w:r>
    </w:p>
    <w:p w14:paraId="39535816" w14:textId="77777777" w:rsidR="00CA2E72" w:rsidRPr="00B73395" w:rsidRDefault="007D2140" w:rsidP="00CA2E72">
      <w:pPr>
        <w:pStyle w:val="Bodycopy"/>
        <w:spacing w:after="120"/>
        <w:jc w:val="both"/>
      </w:pPr>
      <w:r>
        <w:t>Innovative and collaborative partnerships between schools and industry are essential to ensure students can investigate career options, prepare for the workforce, and identify local work opportunities. For industry, having a strong connection to schools provides an opportunity to promote local employment opportunities.</w:t>
      </w:r>
    </w:p>
    <w:p w14:paraId="39535817" w14:textId="77777777" w:rsidR="00982C0F" w:rsidRDefault="007D2140" w:rsidP="00120114">
      <w:pPr>
        <w:pStyle w:val="Bodycopy"/>
        <w:spacing w:after="120"/>
        <w:jc w:val="both"/>
      </w:pPr>
      <w:r>
        <w:t xml:space="preserve">The GISP </w:t>
      </w:r>
      <w:r w:rsidR="004663BE">
        <w:t>aligns with</w:t>
      </w:r>
      <w:r w:rsidR="003D54DC">
        <w:t xml:space="preserve"> the</w:t>
      </w:r>
      <w:r w:rsidR="004663BE" w:rsidRPr="004663BE">
        <w:rPr>
          <w:i/>
          <w:iCs/>
        </w:rPr>
        <w:t xml:space="preserve"> </w:t>
      </w:r>
      <w:r w:rsidR="004663BE" w:rsidRPr="00CD70CE">
        <w:rPr>
          <w:i/>
          <w:iCs/>
        </w:rPr>
        <w:t>Good people. Good jobs: Queensland Workforce Strategy 2022-2032</w:t>
      </w:r>
      <w:r w:rsidR="004663BE">
        <w:rPr>
          <w:i/>
          <w:iCs/>
        </w:rPr>
        <w:t xml:space="preserve"> </w:t>
      </w:r>
      <w:r w:rsidR="004663BE" w:rsidRPr="003D54DC">
        <w:t>and</w:t>
      </w:r>
      <w:r w:rsidR="004663BE">
        <w:rPr>
          <w:i/>
          <w:iCs/>
        </w:rPr>
        <w:t xml:space="preserve"> Good Jobs, Great Training: Queensland Skills Strategy 2024-2028.</w:t>
      </w:r>
    </w:p>
    <w:p w14:paraId="39535818" w14:textId="77777777" w:rsidR="00780A21" w:rsidRPr="00F670C0" w:rsidRDefault="007D2140" w:rsidP="00780A21">
      <w:pPr>
        <w:pStyle w:val="Heading1"/>
        <w:ind w:left="851" w:hanging="851"/>
        <w:rPr>
          <w:rFonts w:eastAsia="Arial"/>
          <w:sz w:val="32"/>
          <w:szCs w:val="28"/>
        </w:rPr>
      </w:pPr>
      <w:r w:rsidRPr="00F670C0">
        <w:rPr>
          <w:rFonts w:eastAsia="Arial"/>
          <w:sz w:val="32"/>
          <w:szCs w:val="28"/>
        </w:rPr>
        <w:t>About the program</w:t>
      </w:r>
    </w:p>
    <w:p w14:paraId="39535819" w14:textId="77777777" w:rsidR="00B71B92" w:rsidRPr="00780A21" w:rsidRDefault="007D2140" w:rsidP="00B71B92">
      <w:pPr>
        <w:pStyle w:val="Bodycopy"/>
        <w:spacing w:after="120"/>
        <w:jc w:val="both"/>
        <w:rPr>
          <w:rFonts w:cs="Arial"/>
          <w:szCs w:val="22"/>
        </w:rPr>
      </w:pPr>
      <w:r>
        <w:rPr>
          <w:rFonts w:cs="Arial"/>
          <w:szCs w:val="22"/>
        </w:rPr>
        <w:t xml:space="preserve">The </w:t>
      </w:r>
      <w:r w:rsidRPr="00780A21">
        <w:rPr>
          <w:rFonts w:cs="Arial"/>
          <w:szCs w:val="22"/>
        </w:rPr>
        <w:t>GISP provide</w:t>
      </w:r>
      <w:r w:rsidR="00982C0F">
        <w:rPr>
          <w:rFonts w:cs="Arial"/>
          <w:szCs w:val="22"/>
        </w:rPr>
        <w:t>s</w:t>
      </w:r>
      <w:r w:rsidRPr="00780A21">
        <w:rPr>
          <w:rFonts w:cs="Arial"/>
          <w:szCs w:val="22"/>
        </w:rPr>
        <w:t xml:space="preserve"> school students with opportunities to experience a range of industry and career options across targeted sectors. It works to develop </w:t>
      </w:r>
      <w:r w:rsidR="004663BE">
        <w:rPr>
          <w:rFonts w:cs="Arial"/>
          <w:szCs w:val="22"/>
        </w:rPr>
        <w:t xml:space="preserve">Queensland’s </w:t>
      </w:r>
      <w:r w:rsidRPr="00780A21">
        <w:rPr>
          <w:rFonts w:cs="Arial"/>
          <w:szCs w:val="22"/>
        </w:rPr>
        <w:t xml:space="preserve">future workforce by </w:t>
      </w:r>
      <w:r>
        <w:rPr>
          <w:rFonts w:cs="Arial"/>
          <w:szCs w:val="22"/>
        </w:rPr>
        <w:t>connecting</w:t>
      </w:r>
      <w:r w:rsidRPr="00780A21">
        <w:rPr>
          <w:rFonts w:cs="Arial"/>
          <w:szCs w:val="22"/>
        </w:rPr>
        <w:t xml:space="preserve"> school</w:t>
      </w:r>
      <w:r w:rsidR="004663BE">
        <w:rPr>
          <w:rFonts w:cs="Arial"/>
          <w:szCs w:val="22"/>
        </w:rPr>
        <w:t>s</w:t>
      </w:r>
      <w:r w:rsidRPr="00780A21">
        <w:rPr>
          <w:rFonts w:cs="Arial"/>
          <w:szCs w:val="22"/>
        </w:rPr>
        <w:t xml:space="preserve"> and industry – providing opportunities in the learning environment to nurture talent and grow and foster Queensland’s future workforce.</w:t>
      </w:r>
    </w:p>
    <w:p w14:paraId="3953581A" w14:textId="77777777" w:rsidR="00B71B92" w:rsidRDefault="007D2140" w:rsidP="00B71B92">
      <w:pPr>
        <w:pStyle w:val="Bodycopy"/>
        <w:spacing w:after="120"/>
        <w:jc w:val="both"/>
        <w:rPr>
          <w:rFonts w:cs="Arial"/>
          <w:szCs w:val="22"/>
        </w:rPr>
      </w:pPr>
      <w:r w:rsidRPr="00780A21">
        <w:rPr>
          <w:rFonts w:cs="Arial"/>
          <w:szCs w:val="22"/>
        </w:rPr>
        <w:t xml:space="preserve">The program </w:t>
      </w:r>
      <w:r w:rsidR="008E21AB">
        <w:rPr>
          <w:rFonts w:cs="Arial"/>
          <w:szCs w:val="22"/>
        </w:rPr>
        <w:t>services</w:t>
      </w:r>
      <w:r w:rsidRPr="00780A21">
        <w:rPr>
          <w:rFonts w:cs="Arial"/>
          <w:szCs w:val="22"/>
        </w:rPr>
        <w:t xml:space="preserve"> 12 priority industry areas which underpin economic and employment growth across the state and offer long-term and rewarding career opportunities.</w:t>
      </w:r>
    </w:p>
    <w:p w14:paraId="3953581B" w14:textId="77777777" w:rsidR="00B71B92" w:rsidRPr="00780A21" w:rsidRDefault="007D2140" w:rsidP="00B71B92">
      <w:pPr>
        <w:spacing w:after="120"/>
        <w:textAlignment w:val="center"/>
        <w:rPr>
          <w:rFonts w:ascii="Calibri" w:hAnsi="Calibri" w:cs="Calibri"/>
          <w:sz w:val="24"/>
          <w:lang w:eastAsia="ko-KR"/>
        </w:rPr>
      </w:pPr>
      <w:r>
        <w:rPr>
          <w:rFonts w:cs="Arial"/>
          <w:szCs w:val="22"/>
          <w:lang w:eastAsia="ko-KR"/>
        </w:rPr>
        <w:t xml:space="preserve">The 12 </w:t>
      </w:r>
      <w:r w:rsidRPr="00780A21">
        <w:rPr>
          <w:rFonts w:cs="Arial"/>
          <w:szCs w:val="22"/>
          <w:lang w:eastAsia="ko-KR"/>
        </w:rPr>
        <w:t>GISP</w:t>
      </w:r>
      <w:r>
        <w:rPr>
          <w:rFonts w:cs="Arial"/>
          <w:szCs w:val="22"/>
          <w:lang w:eastAsia="ko-KR"/>
        </w:rPr>
        <w:t xml:space="preserve"> </w:t>
      </w:r>
      <w:r w:rsidRPr="00780A21">
        <w:rPr>
          <w:rFonts w:cs="Arial"/>
          <w:szCs w:val="22"/>
          <w:lang w:eastAsia="ko-KR"/>
        </w:rPr>
        <w:t>industry sectors</w:t>
      </w:r>
      <w:r>
        <w:rPr>
          <w:rFonts w:cs="Arial"/>
          <w:szCs w:val="22"/>
          <w:lang w:eastAsia="ko-KR"/>
        </w:rPr>
        <w:t xml:space="preserve"> are</w:t>
      </w:r>
      <w:r w:rsidRPr="00780A21">
        <w:rPr>
          <w:rFonts w:cs="Arial"/>
          <w:szCs w:val="22"/>
          <w:lang w:eastAsia="ko-KR"/>
        </w:rPr>
        <w:t>:</w:t>
      </w:r>
    </w:p>
    <w:p w14:paraId="3953581C"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Advanced </w:t>
      </w:r>
      <w:r w:rsidR="00303F92">
        <w:rPr>
          <w:rFonts w:cs="Arial"/>
          <w:szCs w:val="22"/>
          <w:lang w:eastAsia="ko-KR"/>
        </w:rPr>
        <w:t>M</w:t>
      </w:r>
      <w:r w:rsidRPr="00780A21">
        <w:rPr>
          <w:rFonts w:cs="Arial"/>
          <w:szCs w:val="22"/>
          <w:lang w:eastAsia="ko-KR"/>
        </w:rPr>
        <w:t xml:space="preserve">anufacturing </w:t>
      </w:r>
    </w:p>
    <w:p w14:paraId="3953581D"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Aerospace </w:t>
      </w:r>
    </w:p>
    <w:p w14:paraId="3953581E"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Agribusiness </w:t>
      </w:r>
    </w:p>
    <w:p w14:paraId="3953581F"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Building and </w:t>
      </w:r>
      <w:r w:rsidR="00731E45">
        <w:rPr>
          <w:rFonts w:cs="Arial"/>
          <w:szCs w:val="22"/>
          <w:lang w:eastAsia="ko-KR"/>
        </w:rPr>
        <w:t>C</w:t>
      </w:r>
      <w:r w:rsidRPr="00780A21">
        <w:rPr>
          <w:rFonts w:cs="Arial"/>
          <w:szCs w:val="22"/>
          <w:lang w:eastAsia="ko-KR"/>
        </w:rPr>
        <w:t xml:space="preserve">onstruction </w:t>
      </w:r>
    </w:p>
    <w:p w14:paraId="39535820"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Community </w:t>
      </w:r>
      <w:r w:rsidR="00731E45">
        <w:rPr>
          <w:rFonts w:cs="Arial"/>
          <w:szCs w:val="22"/>
          <w:lang w:eastAsia="ko-KR"/>
        </w:rPr>
        <w:t>S</w:t>
      </w:r>
      <w:r w:rsidRPr="00780A21">
        <w:rPr>
          <w:rFonts w:cs="Arial"/>
          <w:szCs w:val="22"/>
          <w:lang w:eastAsia="ko-KR"/>
        </w:rPr>
        <w:t xml:space="preserve">ervices </w:t>
      </w:r>
    </w:p>
    <w:p w14:paraId="39535821"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Health </w:t>
      </w:r>
    </w:p>
    <w:p w14:paraId="39535822"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Hydrogen </w:t>
      </w:r>
    </w:p>
    <w:p w14:paraId="39535823"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Information and Communication Technology </w:t>
      </w:r>
    </w:p>
    <w:p w14:paraId="39535824" w14:textId="77777777" w:rsidR="00B71B92" w:rsidRPr="00780A21" w:rsidRDefault="007D2140">
      <w:pPr>
        <w:numPr>
          <w:ilvl w:val="0"/>
          <w:numId w:val="22"/>
        </w:numPr>
        <w:textAlignment w:val="center"/>
        <w:rPr>
          <w:rFonts w:ascii="Calibri" w:hAnsi="Calibri" w:cs="Calibri"/>
          <w:sz w:val="24"/>
          <w:lang w:eastAsia="ko-KR"/>
        </w:rPr>
      </w:pPr>
      <w:r>
        <w:rPr>
          <w:rFonts w:cs="Arial"/>
          <w:szCs w:val="22"/>
          <w:lang w:eastAsia="ko-KR"/>
        </w:rPr>
        <w:t>Mineral</w:t>
      </w:r>
      <w:r w:rsidR="00303F92">
        <w:rPr>
          <w:rFonts w:cs="Arial"/>
          <w:szCs w:val="22"/>
          <w:lang w:eastAsia="ko-KR"/>
        </w:rPr>
        <w:t>s</w:t>
      </w:r>
      <w:r w:rsidRPr="00780A21">
        <w:rPr>
          <w:rFonts w:cs="Arial"/>
          <w:szCs w:val="22"/>
          <w:lang w:eastAsia="ko-KR"/>
        </w:rPr>
        <w:t xml:space="preserve"> and </w:t>
      </w:r>
      <w:r w:rsidR="00731E45">
        <w:rPr>
          <w:rFonts w:cs="Arial"/>
          <w:szCs w:val="22"/>
          <w:lang w:eastAsia="ko-KR"/>
        </w:rPr>
        <w:t>E</w:t>
      </w:r>
      <w:r w:rsidRPr="00780A21">
        <w:rPr>
          <w:rFonts w:cs="Arial"/>
          <w:szCs w:val="22"/>
          <w:lang w:eastAsia="ko-KR"/>
        </w:rPr>
        <w:t xml:space="preserve">nergy </w:t>
      </w:r>
    </w:p>
    <w:p w14:paraId="39535825"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Renewable </w:t>
      </w:r>
      <w:r w:rsidR="00731E45">
        <w:rPr>
          <w:rFonts w:cs="Arial"/>
          <w:szCs w:val="22"/>
          <w:lang w:eastAsia="ko-KR"/>
        </w:rPr>
        <w:t>E</w:t>
      </w:r>
      <w:r w:rsidRPr="00780A21">
        <w:rPr>
          <w:rFonts w:cs="Arial"/>
          <w:szCs w:val="22"/>
          <w:lang w:eastAsia="ko-KR"/>
        </w:rPr>
        <w:t xml:space="preserve">nergy </w:t>
      </w:r>
    </w:p>
    <w:p w14:paraId="39535826" w14:textId="77777777" w:rsidR="00B71B92" w:rsidRPr="00780A21" w:rsidRDefault="007D2140">
      <w:pPr>
        <w:numPr>
          <w:ilvl w:val="0"/>
          <w:numId w:val="22"/>
        </w:numPr>
        <w:textAlignment w:val="center"/>
        <w:rPr>
          <w:rFonts w:ascii="Calibri" w:hAnsi="Calibri" w:cs="Calibri"/>
          <w:sz w:val="24"/>
          <w:lang w:eastAsia="ko-KR"/>
        </w:rPr>
      </w:pPr>
      <w:r w:rsidRPr="00780A21">
        <w:rPr>
          <w:rFonts w:cs="Arial"/>
          <w:szCs w:val="22"/>
          <w:lang w:eastAsia="ko-KR"/>
        </w:rPr>
        <w:t xml:space="preserve">Screen and </w:t>
      </w:r>
      <w:r w:rsidR="00731E45">
        <w:rPr>
          <w:rFonts w:cs="Arial"/>
          <w:szCs w:val="22"/>
          <w:lang w:eastAsia="ko-KR"/>
        </w:rPr>
        <w:t>M</w:t>
      </w:r>
      <w:r w:rsidRPr="00780A21">
        <w:rPr>
          <w:rFonts w:cs="Arial"/>
          <w:szCs w:val="22"/>
          <w:lang w:eastAsia="ko-KR"/>
        </w:rPr>
        <w:t xml:space="preserve">edia </w:t>
      </w:r>
    </w:p>
    <w:p w14:paraId="39535827" w14:textId="77777777" w:rsidR="00B71B92" w:rsidRPr="006D1187" w:rsidRDefault="007D2140">
      <w:pPr>
        <w:numPr>
          <w:ilvl w:val="0"/>
          <w:numId w:val="22"/>
        </w:numPr>
        <w:spacing w:after="120"/>
        <w:jc w:val="both"/>
        <w:textAlignment w:val="center"/>
        <w:rPr>
          <w:rFonts w:cs="Arial"/>
          <w:sz w:val="24"/>
        </w:rPr>
      </w:pPr>
      <w:r w:rsidRPr="00780A21">
        <w:rPr>
          <w:rFonts w:cs="Arial"/>
          <w:szCs w:val="22"/>
          <w:lang w:eastAsia="ko-KR"/>
        </w:rPr>
        <w:t xml:space="preserve">Tourism and </w:t>
      </w:r>
      <w:r w:rsidR="00731E45">
        <w:rPr>
          <w:rFonts w:cs="Arial"/>
          <w:szCs w:val="22"/>
          <w:lang w:eastAsia="ko-KR"/>
        </w:rPr>
        <w:t>H</w:t>
      </w:r>
      <w:r w:rsidRPr="00780A21">
        <w:rPr>
          <w:rFonts w:cs="Arial"/>
          <w:szCs w:val="22"/>
          <w:lang w:eastAsia="ko-KR"/>
        </w:rPr>
        <w:t>ospitality</w:t>
      </w:r>
    </w:p>
    <w:p w14:paraId="39535828" w14:textId="77777777" w:rsidR="00893245" w:rsidRDefault="007D2140" w:rsidP="00893245">
      <w:pPr>
        <w:spacing w:after="120"/>
        <w:jc w:val="both"/>
        <w:rPr>
          <w:rFonts w:eastAsia="Arial" w:cs="Arial"/>
          <w:color w:val="000000" w:themeColor="text1"/>
        </w:rPr>
      </w:pPr>
      <w:r>
        <w:rPr>
          <w:rFonts w:eastAsia="Arial" w:cs="Arial"/>
          <w:color w:val="000000" w:themeColor="text1"/>
        </w:rPr>
        <w:t>G</w:t>
      </w:r>
      <w:r w:rsidR="004663BE">
        <w:rPr>
          <w:rFonts w:eastAsia="Arial" w:cs="Arial"/>
          <w:color w:val="000000" w:themeColor="text1"/>
        </w:rPr>
        <w:t>ISP</w:t>
      </w:r>
      <w:r w:rsidR="00947378">
        <w:rPr>
          <w:rFonts w:eastAsia="Arial" w:cs="Arial"/>
          <w:color w:val="000000" w:themeColor="text1"/>
        </w:rPr>
        <w:t xml:space="preserve"> </w:t>
      </w:r>
      <w:r w:rsidR="00947378" w:rsidRPr="094E28BF">
        <w:rPr>
          <w:rFonts w:eastAsia="Arial" w:cs="Arial"/>
          <w:color w:val="000000" w:themeColor="text1"/>
        </w:rPr>
        <w:t>projects</w:t>
      </w:r>
      <w:r w:rsidR="00780A21" w:rsidRPr="094E28BF">
        <w:rPr>
          <w:rFonts w:eastAsia="Arial" w:cs="Arial"/>
          <w:color w:val="000000" w:themeColor="text1"/>
        </w:rPr>
        <w:t xml:space="preserve"> </w:t>
      </w:r>
      <w:r>
        <w:rPr>
          <w:rFonts w:eastAsia="Arial" w:cs="Arial"/>
          <w:color w:val="000000" w:themeColor="text1"/>
        </w:rPr>
        <w:t>are</w:t>
      </w:r>
      <w:r w:rsidR="00E631BE">
        <w:rPr>
          <w:rFonts w:eastAsia="Arial" w:cs="Arial"/>
          <w:color w:val="000000" w:themeColor="text1"/>
        </w:rPr>
        <w:t xml:space="preserve"> </w:t>
      </w:r>
      <w:r w:rsidR="00780A21" w:rsidRPr="094E28BF">
        <w:rPr>
          <w:rFonts w:eastAsia="Arial" w:cs="Arial"/>
          <w:color w:val="000000" w:themeColor="text1"/>
        </w:rPr>
        <w:t>industry</w:t>
      </w:r>
      <w:r w:rsidR="004663BE">
        <w:rPr>
          <w:rFonts w:eastAsia="Arial" w:cs="Arial"/>
          <w:color w:val="000000" w:themeColor="text1"/>
        </w:rPr>
        <w:t xml:space="preserve"> led</w:t>
      </w:r>
      <w:r w:rsidR="00780A21" w:rsidRPr="094E28BF">
        <w:rPr>
          <w:rFonts w:eastAsia="Arial" w:cs="Arial"/>
          <w:color w:val="000000" w:themeColor="text1"/>
        </w:rPr>
        <w:t xml:space="preserve"> organisation</w:t>
      </w:r>
      <w:r w:rsidR="004663BE">
        <w:rPr>
          <w:rFonts w:eastAsia="Arial" w:cs="Arial"/>
          <w:color w:val="000000" w:themeColor="text1"/>
        </w:rPr>
        <w:t>s</w:t>
      </w:r>
      <w:r w:rsidR="00780A21" w:rsidRPr="094E28BF">
        <w:rPr>
          <w:rFonts w:eastAsia="Arial" w:cs="Arial"/>
          <w:color w:val="000000" w:themeColor="text1"/>
        </w:rPr>
        <w:t xml:space="preserve">, which develop and implement tailored school and industry engagement activities in line with </w:t>
      </w:r>
      <w:r w:rsidR="000341CB">
        <w:rPr>
          <w:rFonts w:eastAsia="Arial" w:cs="Arial"/>
          <w:color w:val="000000" w:themeColor="text1"/>
        </w:rPr>
        <w:t>its</w:t>
      </w:r>
      <w:r w:rsidR="00780A21" w:rsidRPr="094E28BF">
        <w:rPr>
          <w:rFonts w:eastAsia="Arial" w:cs="Arial"/>
          <w:color w:val="000000" w:themeColor="text1"/>
        </w:rPr>
        <w:t xml:space="preserve"> industry’s key skills and workforce priorities.</w:t>
      </w:r>
    </w:p>
    <w:p w14:paraId="39535829" w14:textId="77777777" w:rsidR="00780A21" w:rsidRDefault="007D2140" w:rsidP="00893245">
      <w:pPr>
        <w:spacing w:after="120"/>
        <w:jc w:val="both"/>
        <w:rPr>
          <w:rFonts w:eastAsia="Arial" w:cs="Arial"/>
          <w:color w:val="000000" w:themeColor="text1"/>
        </w:rPr>
      </w:pPr>
      <w:r>
        <w:rPr>
          <w:rFonts w:eastAsia="Arial" w:cs="Arial"/>
          <w:color w:val="000000" w:themeColor="text1"/>
        </w:rPr>
        <w:t>Funded organisations</w:t>
      </w:r>
      <w:r w:rsidRPr="094E28BF">
        <w:rPr>
          <w:rFonts w:eastAsia="Arial" w:cs="Arial"/>
          <w:color w:val="000000" w:themeColor="text1"/>
        </w:rPr>
        <w:t xml:space="preserve"> </w:t>
      </w:r>
      <w:r>
        <w:rPr>
          <w:rFonts w:eastAsia="Arial" w:cs="Arial"/>
          <w:color w:val="000000" w:themeColor="text1"/>
        </w:rPr>
        <w:t xml:space="preserve">decide </w:t>
      </w:r>
      <w:r w:rsidRPr="094E28BF">
        <w:rPr>
          <w:rFonts w:eastAsia="Arial" w:cs="Arial"/>
          <w:color w:val="000000" w:themeColor="text1"/>
        </w:rPr>
        <w:t>how the industry-specific projects operate, and the type and level of engagement with participating schools</w:t>
      </w:r>
      <w:r w:rsidR="000341CB">
        <w:rPr>
          <w:rFonts w:eastAsia="Arial" w:cs="Arial"/>
          <w:color w:val="000000" w:themeColor="text1"/>
        </w:rPr>
        <w:t xml:space="preserve"> in consultation with DESBT</w:t>
      </w:r>
      <w:r w:rsidRPr="094E28BF">
        <w:rPr>
          <w:rFonts w:eastAsia="Arial" w:cs="Arial"/>
          <w:color w:val="000000" w:themeColor="text1"/>
        </w:rPr>
        <w:t xml:space="preserve">. </w:t>
      </w:r>
    </w:p>
    <w:p w14:paraId="3953582A" w14:textId="77777777" w:rsidR="00780A21" w:rsidRDefault="007D2140" w:rsidP="00780A21">
      <w:pPr>
        <w:spacing w:after="120"/>
        <w:jc w:val="both"/>
      </w:pPr>
      <w:r w:rsidRPr="076A0789">
        <w:rPr>
          <w:rFonts w:eastAsia="Arial" w:cs="Arial"/>
          <w:color w:val="000000" w:themeColor="text1"/>
          <w:szCs w:val="22"/>
        </w:rPr>
        <w:t>School a</w:t>
      </w:r>
      <w:r>
        <w:t>nd industry engagement activities include the following:</w:t>
      </w:r>
    </w:p>
    <w:p w14:paraId="3953582B" w14:textId="77777777" w:rsidR="00780A21" w:rsidRPr="008914B6" w:rsidRDefault="007D2140">
      <w:pPr>
        <w:pStyle w:val="ListParagraph"/>
        <w:numPr>
          <w:ilvl w:val="0"/>
          <w:numId w:val="23"/>
        </w:numPr>
        <w:ind w:left="357" w:hanging="357"/>
        <w:contextualSpacing/>
        <w:rPr>
          <w:rFonts w:eastAsia="Arial" w:cs="Arial"/>
        </w:rPr>
      </w:pPr>
      <w:r>
        <w:rPr>
          <w:rFonts w:cs="Arial"/>
        </w:rPr>
        <w:t>i</w:t>
      </w:r>
      <w:r w:rsidRPr="442D56D0">
        <w:rPr>
          <w:rFonts w:cs="Arial"/>
        </w:rPr>
        <w:t>ndustry</w:t>
      </w:r>
      <w:r w:rsidRPr="008914B6">
        <w:rPr>
          <w:rFonts w:eastAsia="Arial" w:cs="Arial"/>
        </w:rPr>
        <w:t>-related experiential learning</w:t>
      </w:r>
      <w:r w:rsidR="00FE6021">
        <w:rPr>
          <w:rFonts w:eastAsia="Arial" w:cs="Arial"/>
        </w:rPr>
        <w:t xml:space="preserve"> opportunities</w:t>
      </w:r>
    </w:p>
    <w:p w14:paraId="3953582C" w14:textId="77777777" w:rsidR="00780A21" w:rsidRPr="008914B6" w:rsidRDefault="007D2140">
      <w:pPr>
        <w:pStyle w:val="ListParagraph"/>
        <w:numPr>
          <w:ilvl w:val="0"/>
          <w:numId w:val="23"/>
        </w:numPr>
        <w:ind w:left="357" w:hanging="357"/>
        <w:contextualSpacing/>
        <w:jc w:val="both"/>
        <w:rPr>
          <w:rFonts w:eastAsia="Arial" w:cs="Arial"/>
        </w:rPr>
      </w:pPr>
      <w:r>
        <w:rPr>
          <w:rFonts w:eastAsia="Arial" w:cs="Arial"/>
        </w:rPr>
        <w:t xml:space="preserve">offering </w:t>
      </w:r>
      <w:r w:rsidRPr="008914B6">
        <w:rPr>
          <w:rFonts w:eastAsia="Arial" w:cs="Arial"/>
        </w:rPr>
        <w:t>work experience, trials, scholarships and paid work placement</w:t>
      </w:r>
      <w:r>
        <w:rPr>
          <w:rFonts w:eastAsia="Arial" w:cs="Arial"/>
        </w:rPr>
        <w:t xml:space="preserve"> opportunities</w:t>
      </w:r>
    </w:p>
    <w:p w14:paraId="3953582D" w14:textId="77777777" w:rsidR="00780A21" w:rsidRPr="008914B6" w:rsidRDefault="007D2140">
      <w:pPr>
        <w:pStyle w:val="ListParagraph"/>
        <w:numPr>
          <w:ilvl w:val="0"/>
          <w:numId w:val="23"/>
        </w:numPr>
        <w:ind w:left="357" w:hanging="357"/>
        <w:contextualSpacing/>
        <w:rPr>
          <w:rFonts w:eastAsia="Arial" w:cs="Arial"/>
        </w:rPr>
      </w:pPr>
      <w:r>
        <w:rPr>
          <w:rFonts w:eastAsia="Arial" w:cs="Arial"/>
        </w:rPr>
        <w:t xml:space="preserve">organising </w:t>
      </w:r>
      <w:r w:rsidRPr="008914B6">
        <w:rPr>
          <w:rFonts w:eastAsia="Arial" w:cs="Arial"/>
        </w:rPr>
        <w:t xml:space="preserve">school-based apprenticeships and traineeships </w:t>
      </w:r>
      <w:r>
        <w:rPr>
          <w:rFonts w:eastAsia="Arial" w:cs="Arial"/>
        </w:rPr>
        <w:t>opportunities</w:t>
      </w:r>
    </w:p>
    <w:p w14:paraId="3953582E" w14:textId="77777777" w:rsidR="00780A21" w:rsidRPr="008914B6" w:rsidRDefault="007D2140">
      <w:pPr>
        <w:pStyle w:val="ListParagraph"/>
        <w:numPr>
          <w:ilvl w:val="0"/>
          <w:numId w:val="23"/>
        </w:numPr>
        <w:ind w:left="357" w:hanging="357"/>
        <w:contextualSpacing/>
        <w:rPr>
          <w:rFonts w:eastAsia="Arial" w:cs="Arial"/>
        </w:rPr>
      </w:pPr>
      <w:r>
        <w:rPr>
          <w:rFonts w:eastAsia="Arial" w:cs="Arial"/>
        </w:rPr>
        <w:t xml:space="preserve">promoting </w:t>
      </w:r>
      <w:r w:rsidRPr="008914B6">
        <w:rPr>
          <w:rFonts w:eastAsia="Arial" w:cs="Arial"/>
        </w:rPr>
        <w:t>accredited and non-accredited learning, including through VETiS</w:t>
      </w:r>
      <w:r w:rsidR="000341CB">
        <w:rPr>
          <w:rFonts w:eastAsia="Arial" w:cs="Arial"/>
        </w:rPr>
        <w:t xml:space="preserve"> funding</w:t>
      </w:r>
    </w:p>
    <w:p w14:paraId="3953582F" w14:textId="77777777" w:rsidR="00780A21" w:rsidRPr="008914B6" w:rsidRDefault="007D2140">
      <w:pPr>
        <w:pStyle w:val="ListParagraph"/>
        <w:numPr>
          <w:ilvl w:val="0"/>
          <w:numId w:val="23"/>
        </w:numPr>
        <w:ind w:left="357" w:hanging="357"/>
        <w:contextualSpacing/>
        <w:jc w:val="both"/>
        <w:rPr>
          <w:rFonts w:eastAsia="Arial" w:cs="Arial"/>
        </w:rPr>
      </w:pPr>
      <w:r w:rsidRPr="008914B6">
        <w:rPr>
          <w:rFonts w:eastAsia="Arial" w:cs="Arial"/>
        </w:rPr>
        <w:t>information to students</w:t>
      </w:r>
      <w:r w:rsidR="000341CB">
        <w:rPr>
          <w:rFonts w:eastAsia="Arial" w:cs="Arial"/>
        </w:rPr>
        <w:t xml:space="preserve"> and parents</w:t>
      </w:r>
      <w:r w:rsidRPr="008914B6">
        <w:rPr>
          <w:rFonts w:eastAsia="Arial" w:cs="Arial"/>
        </w:rPr>
        <w:t xml:space="preserve"> on career advice, career pathways and further training after school</w:t>
      </w:r>
    </w:p>
    <w:p w14:paraId="39535830" w14:textId="77777777" w:rsidR="00780A21" w:rsidRPr="008914B6" w:rsidRDefault="007D2140">
      <w:pPr>
        <w:pStyle w:val="ListParagraph"/>
        <w:numPr>
          <w:ilvl w:val="0"/>
          <w:numId w:val="23"/>
        </w:numPr>
        <w:ind w:left="357" w:hanging="357"/>
        <w:contextualSpacing/>
        <w:jc w:val="both"/>
        <w:rPr>
          <w:rFonts w:eastAsia="Arial" w:cs="Arial"/>
        </w:rPr>
      </w:pPr>
      <w:r w:rsidRPr="008914B6">
        <w:rPr>
          <w:rFonts w:eastAsia="Arial" w:cs="Arial"/>
        </w:rPr>
        <w:t>career events and job expos</w:t>
      </w:r>
    </w:p>
    <w:p w14:paraId="39535831" w14:textId="77777777" w:rsidR="00780A21" w:rsidRDefault="007D2140">
      <w:pPr>
        <w:pStyle w:val="ListParagraph"/>
        <w:numPr>
          <w:ilvl w:val="0"/>
          <w:numId w:val="23"/>
        </w:numPr>
        <w:ind w:left="357" w:hanging="357"/>
        <w:contextualSpacing/>
        <w:jc w:val="both"/>
        <w:rPr>
          <w:rFonts w:cs="Arial"/>
        </w:rPr>
      </w:pPr>
      <w:r w:rsidRPr="008914B6">
        <w:rPr>
          <w:rFonts w:eastAsia="Arial" w:cs="Arial"/>
        </w:rPr>
        <w:t>industry-related capability building activities and professional development activities</w:t>
      </w:r>
      <w:r w:rsidR="000341CB">
        <w:rPr>
          <w:rFonts w:eastAsia="Arial" w:cs="Arial"/>
        </w:rPr>
        <w:t xml:space="preserve"> for teachers</w:t>
      </w:r>
      <w:r w:rsidRPr="008914B6">
        <w:rPr>
          <w:rFonts w:eastAsia="Arial" w:cs="Arial"/>
        </w:rPr>
        <w:t>, such as training</w:t>
      </w:r>
      <w:r w:rsidRPr="701A1037">
        <w:rPr>
          <w:rFonts w:cs="Arial"/>
        </w:rPr>
        <w:t xml:space="preserve"> days and conferences</w:t>
      </w:r>
      <w:r w:rsidR="000341CB">
        <w:rPr>
          <w:rFonts w:cs="Arial"/>
        </w:rPr>
        <w:t xml:space="preserve">. </w:t>
      </w:r>
    </w:p>
    <w:p w14:paraId="39535832" w14:textId="77777777" w:rsidR="00780A21" w:rsidRDefault="007D2140" w:rsidP="00780A21">
      <w:pPr>
        <w:spacing w:after="120"/>
        <w:jc w:val="both"/>
      </w:pPr>
      <w:r>
        <w:t xml:space="preserve">Funded organisations must meet </w:t>
      </w:r>
      <w:r w:rsidR="004663BE">
        <w:t xml:space="preserve">the following </w:t>
      </w:r>
      <w:r>
        <w:t>key performance indicators under their services agreement:</w:t>
      </w:r>
    </w:p>
    <w:p w14:paraId="39535833" w14:textId="77777777" w:rsidR="00780A21" w:rsidRPr="008914B6" w:rsidRDefault="007D2140">
      <w:pPr>
        <w:pStyle w:val="ListParagraph"/>
        <w:numPr>
          <w:ilvl w:val="0"/>
          <w:numId w:val="23"/>
        </w:numPr>
        <w:ind w:left="357" w:hanging="357"/>
        <w:contextualSpacing/>
        <w:jc w:val="both"/>
        <w:rPr>
          <w:rFonts w:eastAsia="Arial" w:cs="Arial"/>
        </w:rPr>
      </w:pPr>
      <w:r w:rsidRPr="008914B6">
        <w:rPr>
          <w:rFonts w:eastAsia="Arial" w:cs="Arial"/>
        </w:rPr>
        <w:t xml:space="preserve">partnerships – create and sustain partnerships between participating schools and </w:t>
      </w:r>
      <w:proofErr w:type="gramStart"/>
      <w:r w:rsidRPr="008914B6">
        <w:rPr>
          <w:rFonts w:eastAsia="Arial" w:cs="Arial"/>
        </w:rPr>
        <w:t>industries</w:t>
      </w:r>
      <w:proofErr w:type="gramEnd"/>
    </w:p>
    <w:p w14:paraId="39535834" w14:textId="77777777" w:rsidR="00780A21" w:rsidRPr="008914B6" w:rsidRDefault="007D2140">
      <w:pPr>
        <w:pStyle w:val="ListParagraph"/>
        <w:numPr>
          <w:ilvl w:val="0"/>
          <w:numId w:val="23"/>
        </w:numPr>
        <w:ind w:left="357" w:hanging="357"/>
        <w:contextualSpacing/>
        <w:jc w:val="both"/>
        <w:rPr>
          <w:rFonts w:eastAsia="Arial" w:cs="Arial"/>
        </w:rPr>
      </w:pPr>
      <w:r w:rsidRPr="008914B6">
        <w:rPr>
          <w:rFonts w:eastAsia="Arial" w:cs="Arial"/>
        </w:rPr>
        <w:t>pathway – industry-focused experiential learning opportunities</w:t>
      </w:r>
    </w:p>
    <w:p w14:paraId="39535835" w14:textId="77777777" w:rsidR="00780A21" w:rsidRPr="008914B6" w:rsidRDefault="007D2140">
      <w:pPr>
        <w:pStyle w:val="ListParagraph"/>
        <w:numPr>
          <w:ilvl w:val="0"/>
          <w:numId w:val="23"/>
        </w:numPr>
        <w:ind w:left="357" w:hanging="357"/>
        <w:contextualSpacing/>
        <w:jc w:val="both"/>
        <w:rPr>
          <w:rFonts w:eastAsia="Arial" w:cs="Arial"/>
        </w:rPr>
      </w:pPr>
      <w:r w:rsidRPr="008914B6">
        <w:rPr>
          <w:rFonts w:eastAsia="Arial" w:cs="Arial"/>
        </w:rPr>
        <w:t xml:space="preserve">participation – employment and gateways to further training and education for </w:t>
      </w:r>
      <w:r w:rsidR="001C1ADB">
        <w:rPr>
          <w:rFonts w:eastAsia="Arial" w:cs="Arial"/>
        </w:rPr>
        <w:t>students</w:t>
      </w:r>
    </w:p>
    <w:p w14:paraId="39535836" w14:textId="77777777" w:rsidR="00780A21" w:rsidRPr="008914B6" w:rsidRDefault="007D2140">
      <w:pPr>
        <w:pStyle w:val="ListParagraph"/>
        <w:numPr>
          <w:ilvl w:val="0"/>
          <w:numId w:val="23"/>
        </w:numPr>
        <w:ind w:left="357" w:hanging="357"/>
        <w:contextualSpacing/>
        <w:jc w:val="both"/>
        <w:rPr>
          <w:rFonts w:eastAsia="Arial" w:cs="Arial"/>
        </w:rPr>
      </w:pPr>
      <w:r w:rsidRPr="008914B6">
        <w:rPr>
          <w:rFonts w:eastAsia="Arial" w:cs="Arial"/>
        </w:rPr>
        <w:lastRenderedPageBreak/>
        <w:t>professional development – for school teachers to improve their industry-related capabilities</w:t>
      </w:r>
    </w:p>
    <w:p w14:paraId="39535837" w14:textId="77777777" w:rsidR="00780A21" w:rsidRPr="003D54DC" w:rsidRDefault="007D2140">
      <w:pPr>
        <w:pStyle w:val="ListParagraph"/>
        <w:numPr>
          <w:ilvl w:val="0"/>
          <w:numId w:val="23"/>
        </w:numPr>
        <w:ind w:left="357" w:hanging="357"/>
        <w:contextualSpacing/>
        <w:jc w:val="both"/>
      </w:pPr>
      <w:r w:rsidRPr="008914B6">
        <w:rPr>
          <w:rFonts w:eastAsia="Arial" w:cs="Arial"/>
        </w:rPr>
        <w:t>prom</w:t>
      </w:r>
      <w:r w:rsidRPr="00812106">
        <w:rPr>
          <w:rFonts w:cs="Arial"/>
        </w:rPr>
        <w:t>otion</w:t>
      </w:r>
      <w:r w:rsidRPr="7A86E244">
        <w:rPr>
          <w:rFonts w:cs="Arial"/>
        </w:rPr>
        <w:t xml:space="preserve"> –</w:t>
      </w:r>
      <w:r w:rsidRPr="00812106">
        <w:rPr>
          <w:rFonts w:cs="Arial"/>
        </w:rPr>
        <w:t xml:space="preserve"> promote and raise awareness of GISP.</w:t>
      </w:r>
    </w:p>
    <w:p w14:paraId="39535838" w14:textId="206E0759" w:rsidR="003D54DC" w:rsidRDefault="007D2140" w:rsidP="003D54DC">
      <w:pPr>
        <w:contextualSpacing/>
        <w:jc w:val="both"/>
      </w:pPr>
      <w:r>
        <w:t>The GISP is administered by the Department of Employment, Small Business and Training (DESBT)</w:t>
      </w:r>
      <w:r w:rsidR="003C370D">
        <w:t>.</w:t>
      </w:r>
    </w:p>
    <w:p w14:paraId="39535839" w14:textId="77777777" w:rsidR="00EB5C78" w:rsidRPr="0051014F" w:rsidRDefault="007D2140" w:rsidP="00F35C36">
      <w:pPr>
        <w:pStyle w:val="Heading2"/>
        <w:rPr>
          <w:sz w:val="32"/>
          <w:szCs w:val="32"/>
        </w:rPr>
      </w:pPr>
      <w:r w:rsidRPr="00734CAB">
        <w:rPr>
          <w:sz w:val="32"/>
          <w:szCs w:val="32"/>
        </w:rPr>
        <w:t>Eligible organisations</w:t>
      </w:r>
    </w:p>
    <w:p w14:paraId="3953583A" w14:textId="77777777" w:rsidR="00EB5C78" w:rsidRDefault="007D2140" w:rsidP="004E07C1">
      <w:pPr>
        <w:pStyle w:val="Bodycopy"/>
        <w:spacing w:after="120"/>
        <w:jc w:val="both"/>
      </w:pPr>
      <w:r>
        <w:t>Queensland</w:t>
      </w:r>
      <w:r w:rsidR="00734CAB">
        <w:t>-</w:t>
      </w:r>
      <w:r>
        <w:t>base</w:t>
      </w:r>
      <w:r w:rsidR="004E07C1">
        <w:t>d</w:t>
      </w:r>
      <w:r>
        <w:t xml:space="preserve"> organisations </w:t>
      </w:r>
      <w:r w:rsidR="00F87A3E">
        <w:t>may</w:t>
      </w:r>
      <w:r w:rsidR="000E2FB6">
        <w:t xml:space="preserve"> apply and </w:t>
      </w:r>
      <w:r>
        <w:t>must:</w:t>
      </w:r>
    </w:p>
    <w:p w14:paraId="3953583B" w14:textId="77777777" w:rsidR="00EB5C78" w:rsidRDefault="007D2140" w:rsidP="0051014F">
      <w:pPr>
        <w:pStyle w:val="ListParagraph"/>
        <w:numPr>
          <w:ilvl w:val="0"/>
          <w:numId w:val="21"/>
        </w:numPr>
        <w:ind w:left="284" w:hanging="284"/>
        <w:contextualSpacing/>
        <w:jc w:val="both"/>
      </w:pPr>
      <w:r>
        <w:t>have a registered and current Australian Business Number (ABN) and be registered for GST</w:t>
      </w:r>
      <w:r w:rsidR="000E2FB6">
        <w:t>;</w:t>
      </w:r>
      <w:r w:rsidR="00EB73A8">
        <w:t xml:space="preserve"> and</w:t>
      </w:r>
    </w:p>
    <w:p w14:paraId="3953583C" w14:textId="77777777" w:rsidR="001B449E" w:rsidRDefault="007D2140" w:rsidP="00120114">
      <w:pPr>
        <w:pStyle w:val="ListParagraph"/>
        <w:numPr>
          <w:ilvl w:val="0"/>
          <w:numId w:val="21"/>
        </w:numPr>
        <w:spacing w:before="0" w:line="240" w:lineRule="auto"/>
        <w:ind w:left="284" w:hanging="284"/>
        <w:jc w:val="both"/>
      </w:pPr>
      <w:r>
        <w:t>hold public liability insurance to the value of not less than $10 million</w:t>
      </w:r>
      <w:r w:rsidR="0014745C">
        <w:t xml:space="preserve"> </w:t>
      </w:r>
      <w:r>
        <w:t>or provide evidence of plan to obtain insurance to the value of not less than $10 million to cover the proposed project</w:t>
      </w:r>
      <w:r w:rsidR="00EB73A8">
        <w:t>.</w:t>
      </w:r>
    </w:p>
    <w:p w14:paraId="3953583D" w14:textId="77777777" w:rsidR="00120114" w:rsidRDefault="007D2140" w:rsidP="00120114">
      <w:pPr>
        <w:spacing w:after="120"/>
        <w:jc w:val="both"/>
      </w:pPr>
      <w:r>
        <w:t>Applicant organisations must be able to demonstrate:</w:t>
      </w:r>
    </w:p>
    <w:p w14:paraId="3953583E" w14:textId="77777777" w:rsidR="00DD3D77" w:rsidRDefault="007D2140" w:rsidP="00120114">
      <w:pPr>
        <w:pStyle w:val="ListParagraph"/>
        <w:numPr>
          <w:ilvl w:val="0"/>
          <w:numId w:val="21"/>
        </w:numPr>
        <w:spacing w:before="0" w:line="240" w:lineRule="auto"/>
        <w:ind w:left="284" w:hanging="284"/>
        <w:jc w:val="both"/>
      </w:pPr>
      <w:r>
        <w:t>capability to manage the project and achieve the project deliverables and timelines;</w:t>
      </w:r>
    </w:p>
    <w:p w14:paraId="3953583F" w14:textId="381CA332" w:rsidR="00DD3D77" w:rsidRPr="00465149" w:rsidRDefault="007D2140" w:rsidP="00120114">
      <w:pPr>
        <w:pStyle w:val="ListParagraph"/>
        <w:numPr>
          <w:ilvl w:val="0"/>
          <w:numId w:val="21"/>
        </w:numPr>
        <w:spacing w:before="0" w:line="240" w:lineRule="auto"/>
        <w:ind w:left="284" w:hanging="284"/>
        <w:jc w:val="both"/>
      </w:pPr>
      <w:r>
        <w:t>understanding of issues relevant to</w:t>
      </w:r>
      <w:r w:rsidR="00C66186">
        <w:t xml:space="preserve"> the</w:t>
      </w:r>
      <w:r>
        <w:t xml:space="preserve"> VET sector, including but not limited to training and skills </w:t>
      </w:r>
      <w:r w:rsidRPr="00465149">
        <w:t xml:space="preserve">pathways, qualifications, and VET </w:t>
      </w:r>
      <w:proofErr w:type="gramStart"/>
      <w:r w:rsidRPr="00465149">
        <w:t>investment;</w:t>
      </w:r>
      <w:proofErr w:type="gramEnd"/>
    </w:p>
    <w:p w14:paraId="39535840" w14:textId="77777777" w:rsidR="00DD3D77" w:rsidRPr="004D1F0C" w:rsidRDefault="007D2140" w:rsidP="00120114">
      <w:pPr>
        <w:pStyle w:val="ListParagraph"/>
        <w:numPr>
          <w:ilvl w:val="0"/>
          <w:numId w:val="21"/>
        </w:numPr>
        <w:spacing w:before="0" w:line="240" w:lineRule="auto"/>
        <w:ind w:left="284" w:hanging="284"/>
        <w:jc w:val="both"/>
      </w:pPr>
      <w:r w:rsidRPr="004D1F0C">
        <w:t xml:space="preserve">skills, knowledge and experience in managing and delivering similar projects of varying size, risk and complexity, including a capacity to service the GISP industry sector you nominated </w:t>
      </w:r>
      <w:proofErr w:type="gramStart"/>
      <w:r w:rsidRPr="004D1F0C">
        <w:t>for;</w:t>
      </w:r>
      <w:proofErr w:type="gramEnd"/>
      <w:r w:rsidRPr="004D1F0C">
        <w:t xml:space="preserve"> </w:t>
      </w:r>
    </w:p>
    <w:p w14:paraId="2AF6774C" w14:textId="55420527" w:rsidR="00930F22" w:rsidRPr="004D1F0C" w:rsidRDefault="00930F22" w:rsidP="00120114">
      <w:pPr>
        <w:pStyle w:val="ListParagraph"/>
        <w:numPr>
          <w:ilvl w:val="0"/>
          <w:numId w:val="21"/>
        </w:numPr>
        <w:spacing w:before="0" w:line="240" w:lineRule="auto"/>
        <w:ind w:left="284" w:hanging="284"/>
        <w:jc w:val="both"/>
      </w:pPr>
      <w:r w:rsidRPr="004D1F0C">
        <w:t xml:space="preserve">pre-existing strong industry knowledge and functional </w:t>
      </w:r>
      <w:proofErr w:type="gramStart"/>
      <w:r w:rsidRPr="004D1F0C">
        <w:t>networks;</w:t>
      </w:r>
      <w:proofErr w:type="gramEnd"/>
    </w:p>
    <w:p w14:paraId="39535841" w14:textId="77777777" w:rsidR="00DD3D77" w:rsidRDefault="007D2140" w:rsidP="00DD3D77">
      <w:pPr>
        <w:pStyle w:val="ListParagraph"/>
        <w:numPr>
          <w:ilvl w:val="0"/>
          <w:numId w:val="21"/>
        </w:numPr>
        <w:spacing w:before="0" w:line="240" w:lineRule="auto"/>
        <w:ind w:left="284" w:hanging="284"/>
        <w:jc w:val="both"/>
      </w:pPr>
      <w:r w:rsidRPr="00465149">
        <w:t xml:space="preserve">skills, </w:t>
      </w:r>
      <w:proofErr w:type="gramStart"/>
      <w:r w:rsidRPr="00465149">
        <w:t>knowledge</w:t>
      </w:r>
      <w:proofErr w:type="gramEnd"/>
      <w:r w:rsidRPr="00465149">
        <w:t xml:space="preserve"> and experience in managing and developing relationships with the education</w:t>
      </w:r>
      <w:r w:rsidRPr="00DD3D77">
        <w:t xml:space="preserve"> sector to maximise outcomes for school staff, students and their influencers</w:t>
      </w:r>
      <w:r>
        <w:t>; and</w:t>
      </w:r>
    </w:p>
    <w:p w14:paraId="39535842" w14:textId="77777777" w:rsidR="00EB5C78" w:rsidRDefault="007D2140" w:rsidP="001B449E">
      <w:pPr>
        <w:pStyle w:val="ListParagraph"/>
        <w:numPr>
          <w:ilvl w:val="0"/>
          <w:numId w:val="21"/>
        </w:numPr>
        <w:spacing w:before="0" w:line="240" w:lineRule="auto"/>
        <w:ind w:left="284" w:hanging="284"/>
        <w:jc w:val="both"/>
      </w:pPr>
      <w:r>
        <w:t xml:space="preserve">capacity to manage the statewide program, including staffing resources. </w:t>
      </w:r>
    </w:p>
    <w:p w14:paraId="39535843" w14:textId="77777777" w:rsidR="009B5E78" w:rsidRDefault="007D2140" w:rsidP="009B5E78">
      <w:pPr>
        <w:pStyle w:val="Heading2"/>
        <w:spacing w:before="240"/>
        <w:jc w:val="both"/>
        <w:rPr>
          <w:sz w:val="32"/>
          <w:szCs w:val="32"/>
        </w:rPr>
      </w:pPr>
      <w:r>
        <w:rPr>
          <w:sz w:val="32"/>
          <w:szCs w:val="32"/>
        </w:rPr>
        <w:t xml:space="preserve">Industry </w:t>
      </w:r>
      <w:r w:rsidR="002E662B">
        <w:rPr>
          <w:sz w:val="32"/>
          <w:szCs w:val="32"/>
        </w:rPr>
        <w:t>sectors</w:t>
      </w:r>
      <w:r>
        <w:rPr>
          <w:sz w:val="32"/>
          <w:szCs w:val="32"/>
        </w:rPr>
        <w:t xml:space="preserve"> </w:t>
      </w:r>
    </w:p>
    <w:p w14:paraId="39535844" w14:textId="77777777" w:rsidR="00353ABE" w:rsidRDefault="007D2140" w:rsidP="006D1187">
      <w:pPr>
        <w:spacing w:after="120"/>
        <w:jc w:val="both"/>
      </w:pPr>
      <w:r>
        <w:t>DESBT</w:t>
      </w:r>
      <w:r w:rsidRPr="006D1187">
        <w:t xml:space="preserve"> determines</w:t>
      </w:r>
      <w:r w:rsidR="007A6DA9">
        <w:t xml:space="preserve"> </w:t>
      </w:r>
      <w:r w:rsidRPr="006D1187">
        <w:t>the application process</w:t>
      </w:r>
      <w:r w:rsidR="00050295">
        <w:t xml:space="preserve"> for industry projects</w:t>
      </w:r>
      <w:r w:rsidRPr="006D1187">
        <w:t xml:space="preserve"> </w:t>
      </w:r>
      <w:r w:rsidR="00D10385">
        <w:t xml:space="preserve">through a </w:t>
      </w:r>
      <w:r w:rsidRPr="006D1187">
        <w:t>public or selective</w:t>
      </w:r>
      <w:r w:rsidR="00D10385">
        <w:t xml:space="preserve"> process,</w:t>
      </w:r>
      <w:r w:rsidRPr="006D1187">
        <w:t xml:space="preserve"> </w:t>
      </w:r>
      <w:r w:rsidR="00E97304">
        <w:t xml:space="preserve">based on an </w:t>
      </w:r>
      <w:r w:rsidRPr="006D1187">
        <w:t xml:space="preserve">analysis of suitable organisations </w:t>
      </w:r>
      <w:r w:rsidR="00050295">
        <w:t xml:space="preserve">in the market </w:t>
      </w:r>
      <w:r w:rsidR="00E97304">
        <w:t xml:space="preserve">and </w:t>
      </w:r>
      <w:r w:rsidRPr="006D1187">
        <w:t>emerging government priorities.</w:t>
      </w:r>
    </w:p>
    <w:p w14:paraId="39535845" w14:textId="77777777" w:rsidR="00DE1C10" w:rsidRDefault="007D2140" w:rsidP="00E97304">
      <w:pPr>
        <w:jc w:val="both"/>
      </w:pPr>
      <w:r>
        <w:t xml:space="preserve">For </w:t>
      </w:r>
      <w:r w:rsidR="00685EEC">
        <w:t>the 2025-2028</w:t>
      </w:r>
      <w:r>
        <w:t xml:space="preserve"> public application process, a</w:t>
      </w:r>
      <w:r w:rsidR="003650E6">
        <w:t>pplicants</w:t>
      </w:r>
      <w:r w:rsidR="002E662B">
        <w:t xml:space="preserve"> </w:t>
      </w:r>
      <w:r w:rsidR="002E662B" w:rsidRPr="002E662B">
        <w:rPr>
          <w:b/>
          <w:bCs/>
        </w:rPr>
        <w:t>must</w:t>
      </w:r>
      <w:r w:rsidR="002E662B">
        <w:t xml:space="preserve"> nominate </w:t>
      </w:r>
      <w:r w:rsidR="00A27002">
        <w:t>the industry sector</w:t>
      </w:r>
      <w:r w:rsidR="00997E66">
        <w:t>(</w:t>
      </w:r>
      <w:r w:rsidR="00A27002">
        <w:t>s</w:t>
      </w:r>
      <w:r w:rsidR="00997E66">
        <w:t>)</w:t>
      </w:r>
      <w:r w:rsidR="00A27002">
        <w:t xml:space="preserve"> from</w:t>
      </w:r>
      <w:r w:rsidR="002E662B">
        <w:t xml:space="preserve"> the list below for which </w:t>
      </w:r>
      <w:r w:rsidR="00A27002">
        <w:t xml:space="preserve">they are </w:t>
      </w:r>
      <w:r>
        <w:t xml:space="preserve">seeking consideration: </w:t>
      </w:r>
    </w:p>
    <w:p w14:paraId="39535846" w14:textId="77777777" w:rsidR="002E662B" w:rsidRPr="009B126E" w:rsidRDefault="007D2140">
      <w:pPr>
        <w:pStyle w:val="ListParagraph"/>
        <w:numPr>
          <w:ilvl w:val="0"/>
          <w:numId w:val="23"/>
        </w:numPr>
        <w:ind w:left="357" w:hanging="357"/>
        <w:contextualSpacing/>
        <w:jc w:val="both"/>
        <w:rPr>
          <w:rFonts w:eastAsia="Arial" w:cs="Arial"/>
        </w:rPr>
      </w:pPr>
      <w:r w:rsidRPr="009B126E">
        <w:rPr>
          <w:rFonts w:eastAsia="Arial" w:cs="Arial"/>
        </w:rPr>
        <w:t>Aerospace</w:t>
      </w:r>
    </w:p>
    <w:p w14:paraId="39535847" w14:textId="77777777" w:rsidR="002E662B" w:rsidRPr="009B126E" w:rsidRDefault="007D2140">
      <w:pPr>
        <w:pStyle w:val="ListParagraph"/>
        <w:numPr>
          <w:ilvl w:val="0"/>
          <w:numId w:val="23"/>
        </w:numPr>
        <w:ind w:left="357" w:hanging="357"/>
        <w:contextualSpacing/>
        <w:jc w:val="both"/>
        <w:rPr>
          <w:rFonts w:eastAsia="Arial" w:cs="Arial"/>
        </w:rPr>
      </w:pPr>
      <w:r w:rsidRPr="009B126E">
        <w:rPr>
          <w:rFonts w:eastAsia="Arial" w:cs="Arial"/>
        </w:rPr>
        <w:t>Agribusiness</w:t>
      </w:r>
    </w:p>
    <w:p w14:paraId="39535848" w14:textId="77777777" w:rsidR="002E662B" w:rsidRPr="00657D64" w:rsidRDefault="007D2140">
      <w:pPr>
        <w:pStyle w:val="ListParagraph"/>
        <w:numPr>
          <w:ilvl w:val="0"/>
          <w:numId w:val="23"/>
        </w:numPr>
        <w:ind w:left="357" w:hanging="357"/>
        <w:contextualSpacing/>
        <w:jc w:val="both"/>
        <w:rPr>
          <w:rFonts w:cs="Arial"/>
          <w:color w:val="131313"/>
          <w:szCs w:val="22"/>
          <w:lang w:val="en-US" w:eastAsia="zh-CN"/>
        </w:rPr>
      </w:pPr>
      <w:r w:rsidRPr="009B126E">
        <w:rPr>
          <w:rFonts w:eastAsia="Arial" w:cs="Arial"/>
        </w:rPr>
        <w:t>Community</w:t>
      </w:r>
      <w:r w:rsidRPr="00657D64">
        <w:rPr>
          <w:rFonts w:cs="Arial"/>
          <w:color w:val="131313"/>
          <w:szCs w:val="22"/>
          <w:lang w:val="en-US" w:eastAsia="zh-CN"/>
        </w:rPr>
        <w:t xml:space="preserve"> Services</w:t>
      </w:r>
    </w:p>
    <w:p w14:paraId="39535849" w14:textId="77777777" w:rsidR="002E662B" w:rsidRPr="009B126E" w:rsidRDefault="007D2140">
      <w:pPr>
        <w:pStyle w:val="ListParagraph"/>
        <w:numPr>
          <w:ilvl w:val="0"/>
          <w:numId w:val="23"/>
        </w:numPr>
        <w:ind w:left="357" w:hanging="357"/>
        <w:contextualSpacing/>
        <w:jc w:val="both"/>
        <w:rPr>
          <w:rFonts w:eastAsia="Arial" w:cs="Arial"/>
        </w:rPr>
      </w:pPr>
      <w:r w:rsidRPr="009B126E">
        <w:rPr>
          <w:rFonts w:eastAsia="Arial" w:cs="Arial"/>
        </w:rPr>
        <w:t>Screen and Media</w:t>
      </w:r>
    </w:p>
    <w:p w14:paraId="3953584A" w14:textId="77777777" w:rsidR="002E662B" w:rsidRPr="009B126E" w:rsidRDefault="007D2140">
      <w:pPr>
        <w:pStyle w:val="ListParagraph"/>
        <w:numPr>
          <w:ilvl w:val="0"/>
          <w:numId w:val="23"/>
        </w:numPr>
        <w:ind w:left="357" w:hanging="357"/>
        <w:contextualSpacing/>
        <w:jc w:val="both"/>
        <w:rPr>
          <w:rFonts w:eastAsia="Arial" w:cs="Arial"/>
        </w:rPr>
      </w:pPr>
      <w:r w:rsidRPr="009B126E">
        <w:rPr>
          <w:rFonts w:eastAsia="Arial" w:cs="Arial"/>
        </w:rPr>
        <w:t>Health</w:t>
      </w:r>
    </w:p>
    <w:p w14:paraId="3953584B" w14:textId="77777777" w:rsidR="002E662B" w:rsidRPr="009B126E" w:rsidRDefault="007D2140">
      <w:pPr>
        <w:pStyle w:val="ListParagraph"/>
        <w:numPr>
          <w:ilvl w:val="0"/>
          <w:numId w:val="23"/>
        </w:numPr>
        <w:ind w:left="357" w:hanging="357"/>
        <w:contextualSpacing/>
        <w:jc w:val="both"/>
        <w:rPr>
          <w:rFonts w:eastAsia="Arial" w:cs="Arial"/>
        </w:rPr>
      </w:pPr>
      <w:r w:rsidRPr="009B126E">
        <w:rPr>
          <w:rFonts w:eastAsia="Arial" w:cs="Arial"/>
        </w:rPr>
        <w:t>Information and Communication Technology</w:t>
      </w:r>
    </w:p>
    <w:p w14:paraId="3953584C" w14:textId="77777777" w:rsidR="002E662B" w:rsidRPr="009B126E" w:rsidRDefault="007D2140">
      <w:pPr>
        <w:pStyle w:val="ListParagraph"/>
        <w:numPr>
          <w:ilvl w:val="0"/>
          <w:numId w:val="23"/>
        </w:numPr>
        <w:ind w:left="357" w:hanging="357"/>
        <w:contextualSpacing/>
        <w:jc w:val="both"/>
        <w:rPr>
          <w:rFonts w:eastAsia="Arial" w:cs="Arial"/>
        </w:rPr>
      </w:pPr>
      <w:r w:rsidRPr="009B126E">
        <w:rPr>
          <w:rFonts w:eastAsia="Arial" w:cs="Arial"/>
        </w:rPr>
        <w:t>Minerals and Energy</w:t>
      </w:r>
    </w:p>
    <w:p w14:paraId="3953584D" w14:textId="77777777" w:rsidR="002E662B" w:rsidRDefault="007D2140">
      <w:pPr>
        <w:pStyle w:val="ListParagraph"/>
        <w:numPr>
          <w:ilvl w:val="0"/>
          <w:numId w:val="23"/>
        </w:numPr>
        <w:ind w:left="357" w:hanging="357"/>
        <w:contextualSpacing/>
        <w:jc w:val="both"/>
        <w:rPr>
          <w:rFonts w:cs="Arial"/>
          <w:color w:val="131313"/>
          <w:szCs w:val="22"/>
          <w:lang w:val="en-US" w:eastAsia="zh-CN"/>
        </w:rPr>
      </w:pPr>
      <w:r w:rsidRPr="009B126E">
        <w:rPr>
          <w:rFonts w:eastAsia="Arial" w:cs="Arial"/>
        </w:rPr>
        <w:t>Tourism</w:t>
      </w:r>
      <w:r>
        <w:rPr>
          <w:rFonts w:cs="Arial"/>
          <w:color w:val="131313"/>
          <w:szCs w:val="22"/>
          <w:lang w:val="en-US" w:eastAsia="zh-CN"/>
        </w:rPr>
        <w:t xml:space="preserve"> and Hospitality</w:t>
      </w:r>
    </w:p>
    <w:p w14:paraId="3953584E" w14:textId="77777777" w:rsidR="00BB53A0" w:rsidRDefault="007D2140" w:rsidP="00A27002">
      <w:pPr>
        <w:widowControl w:val="0"/>
        <w:autoSpaceDE w:val="0"/>
        <w:autoSpaceDN w:val="0"/>
        <w:adjustRightInd w:val="0"/>
        <w:spacing w:before="120" w:after="120" w:line="276" w:lineRule="auto"/>
        <w:ind w:right="170"/>
        <w:contextualSpacing/>
        <w:rPr>
          <w:rFonts w:cs="Arial"/>
          <w:color w:val="131313"/>
          <w:szCs w:val="22"/>
          <w:lang w:val="en-US" w:eastAsia="zh-CN"/>
        </w:rPr>
      </w:pPr>
      <w:r>
        <w:rPr>
          <w:rFonts w:cs="Arial"/>
          <w:color w:val="131313"/>
          <w:szCs w:val="22"/>
          <w:lang w:val="en-US" w:eastAsia="zh-CN"/>
        </w:rPr>
        <w:t>It is recommended that organisations choose the industry sector most relevant to their core business</w:t>
      </w:r>
      <w:r w:rsidR="00F14933">
        <w:rPr>
          <w:rFonts w:cs="Arial"/>
          <w:color w:val="131313"/>
          <w:szCs w:val="22"/>
          <w:lang w:val="en-US" w:eastAsia="zh-CN"/>
        </w:rPr>
        <w:t>, network</w:t>
      </w:r>
      <w:r w:rsidR="004663BE">
        <w:rPr>
          <w:rFonts w:cs="Arial"/>
          <w:color w:val="131313"/>
          <w:szCs w:val="22"/>
          <w:lang w:val="en-US" w:eastAsia="zh-CN"/>
        </w:rPr>
        <w:t>s</w:t>
      </w:r>
      <w:r w:rsidR="00F14933">
        <w:rPr>
          <w:rFonts w:cs="Arial"/>
          <w:color w:val="131313"/>
          <w:szCs w:val="22"/>
          <w:lang w:val="en-US" w:eastAsia="zh-CN"/>
        </w:rPr>
        <w:t xml:space="preserve">, key </w:t>
      </w:r>
      <w:r w:rsidR="0032063B">
        <w:rPr>
          <w:rFonts w:cs="Arial"/>
          <w:color w:val="131313"/>
          <w:szCs w:val="22"/>
          <w:lang w:val="en-US" w:eastAsia="zh-CN"/>
        </w:rPr>
        <w:t>connections,</w:t>
      </w:r>
      <w:r w:rsidR="00F14933">
        <w:rPr>
          <w:rFonts w:cs="Arial"/>
          <w:color w:val="131313"/>
          <w:szCs w:val="22"/>
          <w:lang w:val="en-US" w:eastAsia="zh-CN"/>
        </w:rPr>
        <w:t xml:space="preserve"> and </w:t>
      </w:r>
      <w:r w:rsidR="00A27002">
        <w:rPr>
          <w:rFonts w:cs="Arial"/>
          <w:color w:val="131313"/>
          <w:szCs w:val="22"/>
          <w:lang w:val="en-US" w:eastAsia="zh-CN"/>
        </w:rPr>
        <w:t xml:space="preserve">expertise. </w:t>
      </w:r>
    </w:p>
    <w:p w14:paraId="3953584F" w14:textId="77777777" w:rsidR="009B3AC1" w:rsidRPr="00750540" w:rsidRDefault="007D2140" w:rsidP="009B3AC1">
      <w:pPr>
        <w:pStyle w:val="Heading2"/>
        <w:spacing w:before="240"/>
        <w:jc w:val="both"/>
        <w:rPr>
          <w:sz w:val="32"/>
          <w:szCs w:val="22"/>
        </w:rPr>
      </w:pPr>
      <w:r w:rsidRPr="00750540">
        <w:rPr>
          <w:sz w:val="32"/>
          <w:szCs w:val="22"/>
        </w:rPr>
        <w:t>Delivery period</w:t>
      </w:r>
    </w:p>
    <w:p w14:paraId="39535850" w14:textId="77777777" w:rsidR="009B3AC1" w:rsidRPr="009B3AC1" w:rsidRDefault="007D2140" w:rsidP="009B3AC1">
      <w:pPr>
        <w:pStyle w:val="BodyText"/>
      </w:pPr>
      <w:r>
        <w:t xml:space="preserve">Successful organisations will deliver the activities between 1 February 2025 and 31 January 2028. </w:t>
      </w:r>
    </w:p>
    <w:p w14:paraId="39535851" w14:textId="77777777" w:rsidR="00893245" w:rsidRPr="00750540" w:rsidRDefault="007D2140" w:rsidP="00893245">
      <w:pPr>
        <w:pStyle w:val="Heading2"/>
        <w:spacing w:before="240"/>
        <w:jc w:val="both"/>
        <w:rPr>
          <w:sz w:val="32"/>
          <w:szCs w:val="22"/>
        </w:rPr>
      </w:pPr>
      <w:r w:rsidRPr="00750540">
        <w:rPr>
          <w:sz w:val="32"/>
          <w:szCs w:val="22"/>
        </w:rPr>
        <w:t>Delivery location</w:t>
      </w:r>
    </w:p>
    <w:p w14:paraId="39535852" w14:textId="50D03C52" w:rsidR="004F6755" w:rsidRDefault="007D2140" w:rsidP="004F6755">
      <w:pPr>
        <w:spacing w:after="120"/>
        <w:jc w:val="both"/>
      </w:pPr>
      <w:r>
        <w:t xml:space="preserve">Funded </w:t>
      </w:r>
      <w:r w:rsidRPr="004F6755">
        <w:rPr>
          <w:rFonts w:eastAsia="Arial" w:cs="Arial"/>
          <w:color w:val="000000" w:themeColor="text1"/>
        </w:rPr>
        <w:t>organisations</w:t>
      </w:r>
      <w:r w:rsidR="006E666F">
        <w:t xml:space="preserve"> will service </w:t>
      </w:r>
      <w:r w:rsidR="00ED7AEF">
        <w:t>the state</w:t>
      </w:r>
      <w:r w:rsidR="006E666F">
        <w:t>, working with schools across Queensland.</w:t>
      </w:r>
    </w:p>
    <w:p w14:paraId="39535853" w14:textId="77777777" w:rsidR="00893245" w:rsidRPr="00893245" w:rsidRDefault="007D2140" w:rsidP="004F6755">
      <w:pPr>
        <w:spacing w:after="120"/>
        <w:jc w:val="both"/>
      </w:pPr>
      <w:r>
        <w:t xml:space="preserve">Priority may be given to </w:t>
      </w:r>
      <w:r w:rsidR="006E666F">
        <w:t xml:space="preserve">schools </w:t>
      </w:r>
      <w:r>
        <w:t xml:space="preserve">in regions with a significant presence of the project’s related industry when selecting schools. </w:t>
      </w:r>
    </w:p>
    <w:bookmarkEnd w:id="0"/>
    <w:bookmarkEnd w:id="1"/>
    <w:p w14:paraId="39535854" w14:textId="77777777" w:rsidR="001A2696" w:rsidRPr="0051014F" w:rsidRDefault="007D2140" w:rsidP="00F35C36">
      <w:pPr>
        <w:pStyle w:val="Heading2"/>
        <w:spacing w:before="240"/>
        <w:jc w:val="both"/>
        <w:rPr>
          <w:sz w:val="32"/>
          <w:szCs w:val="32"/>
        </w:rPr>
      </w:pPr>
      <w:r>
        <w:rPr>
          <w:sz w:val="32"/>
          <w:szCs w:val="32"/>
        </w:rPr>
        <w:t>Memorandum of Understanding (MOU)</w:t>
      </w:r>
    </w:p>
    <w:p w14:paraId="39535855" w14:textId="77777777" w:rsidR="00544AD5" w:rsidRDefault="007D2140" w:rsidP="00C810B8">
      <w:pPr>
        <w:pStyle w:val="Bodycopy"/>
        <w:spacing w:after="120"/>
        <w:jc w:val="both"/>
      </w:pPr>
      <w:r>
        <w:t xml:space="preserve">Schools </w:t>
      </w:r>
      <w:r w:rsidR="00BB697C">
        <w:t xml:space="preserve">interested in </w:t>
      </w:r>
      <w:r w:rsidR="00FA393F">
        <w:t xml:space="preserve">joining </w:t>
      </w:r>
      <w:r w:rsidR="0032063B">
        <w:t>a</w:t>
      </w:r>
      <w:r>
        <w:t xml:space="preserve"> </w:t>
      </w:r>
      <w:r w:rsidR="005E56D0">
        <w:t xml:space="preserve">Gateway to Industry Schools project </w:t>
      </w:r>
      <w:r w:rsidR="00FA393F">
        <w:t>must establish</w:t>
      </w:r>
      <w:r w:rsidR="005E56D0">
        <w:t xml:space="preserve"> a Memorandum of Understanding</w:t>
      </w:r>
      <w:r w:rsidR="00C66186">
        <w:t xml:space="preserve"> </w:t>
      </w:r>
      <w:r w:rsidR="00FA393F">
        <w:t xml:space="preserve">(MOU) </w:t>
      </w:r>
      <w:r w:rsidR="005E56D0">
        <w:t xml:space="preserve">with the </w:t>
      </w:r>
      <w:r w:rsidR="003E4849">
        <w:t>funded organisation</w:t>
      </w:r>
      <w:r w:rsidR="005E56D0">
        <w:t xml:space="preserve">. </w:t>
      </w:r>
    </w:p>
    <w:p w14:paraId="39535856" w14:textId="77777777" w:rsidR="00805004" w:rsidRDefault="007D2140" w:rsidP="00143A56">
      <w:pPr>
        <w:spacing w:after="120"/>
        <w:jc w:val="both"/>
      </w:pPr>
      <w:r w:rsidRPr="00805004">
        <w:t xml:space="preserve">To participate in the program, schools must be registered in the </w:t>
      </w:r>
      <w:hyperlink r:id="rId12" w:history="1">
        <w:r w:rsidR="001257C6" w:rsidRPr="00563F73">
          <w:rPr>
            <w:rStyle w:val="Hyperlink"/>
          </w:rPr>
          <w:t>Department of Education S</w:t>
        </w:r>
        <w:r w:rsidRPr="00563F73">
          <w:rPr>
            <w:rStyle w:val="Hyperlink"/>
          </w:rPr>
          <w:t xml:space="preserve">chools </w:t>
        </w:r>
        <w:r w:rsidR="001257C6" w:rsidRPr="00563F73">
          <w:rPr>
            <w:rStyle w:val="Hyperlink"/>
          </w:rPr>
          <w:t>D</w:t>
        </w:r>
        <w:r w:rsidRPr="00563F73">
          <w:rPr>
            <w:rStyle w:val="Hyperlink"/>
          </w:rPr>
          <w:t>irectory</w:t>
        </w:r>
      </w:hyperlink>
      <w:r w:rsidRPr="00805004">
        <w:t xml:space="preserve"> and maintain </w:t>
      </w:r>
      <w:r w:rsidR="00C66186">
        <w:t xml:space="preserve">an </w:t>
      </w:r>
      <w:r w:rsidRPr="00805004">
        <w:t>active status</w:t>
      </w:r>
      <w:r w:rsidR="003358A3">
        <w:t xml:space="preserve"> while MOU is in place</w:t>
      </w:r>
      <w:r w:rsidRPr="00805004">
        <w:t>.</w:t>
      </w:r>
    </w:p>
    <w:p w14:paraId="39535857" w14:textId="77777777" w:rsidR="00143A56" w:rsidRDefault="007D2140" w:rsidP="00143A56">
      <w:pPr>
        <w:spacing w:after="120"/>
        <w:jc w:val="both"/>
      </w:pPr>
      <w:r>
        <w:t>DESBT provides each GISP service provider with a template M</w:t>
      </w:r>
      <w:r w:rsidR="00AF7A49">
        <w:t>O</w:t>
      </w:r>
      <w:r>
        <w:t xml:space="preserve">U document which articulates the roles and contributions of </w:t>
      </w:r>
      <w:r w:rsidR="006D3B64">
        <w:t xml:space="preserve">the funded organisation </w:t>
      </w:r>
      <w:r>
        <w:t xml:space="preserve">and the school. The MOU </w:t>
      </w:r>
      <w:r w:rsidR="006D3B64">
        <w:t xml:space="preserve">serves as a declaration of intent to </w:t>
      </w:r>
      <w:r w:rsidR="003650E6">
        <w:t xml:space="preserve">develop and sustain </w:t>
      </w:r>
      <w:r>
        <w:t xml:space="preserve">a cooperative </w:t>
      </w:r>
      <w:r w:rsidR="003650E6">
        <w:t>relationship</w:t>
      </w:r>
      <w:r>
        <w:t xml:space="preserve"> between the parties </w:t>
      </w:r>
      <w:r w:rsidR="003650E6">
        <w:t>involved</w:t>
      </w:r>
      <w:r>
        <w:t>.</w:t>
      </w:r>
    </w:p>
    <w:p w14:paraId="39535858" w14:textId="77777777" w:rsidR="00226A36" w:rsidRPr="0051014F" w:rsidRDefault="007D2140" w:rsidP="00F35C36">
      <w:pPr>
        <w:pStyle w:val="Heading2"/>
        <w:spacing w:before="240"/>
        <w:jc w:val="both"/>
        <w:rPr>
          <w:sz w:val="32"/>
          <w:szCs w:val="32"/>
        </w:rPr>
      </w:pPr>
      <w:r w:rsidRPr="0051014F">
        <w:rPr>
          <w:sz w:val="32"/>
          <w:szCs w:val="32"/>
        </w:rPr>
        <w:t>What outcomes are expected?</w:t>
      </w:r>
    </w:p>
    <w:p w14:paraId="39535859" w14:textId="77777777" w:rsidR="00226A36" w:rsidRDefault="007D2140" w:rsidP="004E07C1">
      <w:pPr>
        <w:pStyle w:val="Bodycopy"/>
        <w:jc w:val="both"/>
      </w:pPr>
      <w:r>
        <w:t>The following outcomes should be considered in proposals:</w:t>
      </w:r>
    </w:p>
    <w:p w14:paraId="3953585A" w14:textId="77777777" w:rsidR="00226A36" w:rsidRDefault="007D2140" w:rsidP="0051014F">
      <w:pPr>
        <w:pStyle w:val="ListParagraph"/>
        <w:numPr>
          <w:ilvl w:val="0"/>
          <w:numId w:val="21"/>
        </w:numPr>
        <w:ind w:left="284" w:hanging="284"/>
        <w:contextualSpacing/>
        <w:jc w:val="both"/>
      </w:pPr>
      <w:r>
        <w:t xml:space="preserve">Improved post school destination outcomes for students </w:t>
      </w:r>
      <w:r w:rsidR="00F87A3E">
        <w:t xml:space="preserve">that </w:t>
      </w:r>
      <w:r>
        <w:t>participated in project activities</w:t>
      </w:r>
      <w:r w:rsidR="004E07C1">
        <w:t>;</w:t>
      </w:r>
    </w:p>
    <w:p w14:paraId="3953585B" w14:textId="77777777" w:rsidR="005F2750" w:rsidRDefault="007D2140" w:rsidP="0051014F">
      <w:pPr>
        <w:pStyle w:val="ListParagraph"/>
        <w:numPr>
          <w:ilvl w:val="0"/>
          <w:numId w:val="21"/>
        </w:numPr>
        <w:ind w:left="284" w:hanging="284"/>
        <w:contextualSpacing/>
        <w:jc w:val="both"/>
      </w:pPr>
      <w:r>
        <w:t xml:space="preserve">Improved </w:t>
      </w:r>
      <w:r w:rsidR="005D195D">
        <w:t xml:space="preserve">student and teacher </w:t>
      </w:r>
      <w:r>
        <w:t>knowledge on career options</w:t>
      </w:r>
      <w:r w:rsidR="004021FF">
        <w:t>;</w:t>
      </w:r>
    </w:p>
    <w:p w14:paraId="3953585C" w14:textId="77777777" w:rsidR="00226A36" w:rsidRDefault="007D2140" w:rsidP="0051014F">
      <w:pPr>
        <w:pStyle w:val="ListParagraph"/>
        <w:numPr>
          <w:ilvl w:val="0"/>
          <w:numId w:val="21"/>
        </w:numPr>
        <w:ind w:left="284" w:hanging="284"/>
        <w:contextualSpacing/>
        <w:jc w:val="both"/>
      </w:pPr>
      <w:r>
        <w:lastRenderedPageBreak/>
        <w:t xml:space="preserve">Sustainable partnerships between schools, </w:t>
      </w:r>
      <w:r w:rsidR="00456C48">
        <w:t>registered training organisations</w:t>
      </w:r>
      <w:r>
        <w:t xml:space="preserve"> and employers to create a future workforce pipeline</w:t>
      </w:r>
      <w:r w:rsidR="004E07C1">
        <w:t>;</w:t>
      </w:r>
    </w:p>
    <w:p w14:paraId="3953585D" w14:textId="77777777" w:rsidR="00120114" w:rsidRDefault="007D2140" w:rsidP="00120114">
      <w:pPr>
        <w:pStyle w:val="ListParagraph"/>
        <w:numPr>
          <w:ilvl w:val="0"/>
          <w:numId w:val="21"/>
        </w:numPr>
        <w:spacing w:before="0" w:line="240" w:lineRule="auto"/>
        <w:ind w:left="284" w:hanging="284"/>
        <w:jc w:val="both"/>
      </w:pPr>
      <w:r>
        <w:t>Connections built</w:t>
      </w:r>
      <w:r w:rsidR="005F2750">
        <w:t xml:space="preserve"> for schools</w:t>
      </w:r>
      <w:r>
        <w:t xml:space="preserve"> with industries to support successful transitions</w:t>
      </w:r>
      <w:r w:rsidR="00916C14">
        <w:t xml:space="preserve"> for school students</w:t>
      </w:r>
      <w:r>
        <w:t xml:space="preserve"> into</w:t>
      </w:r>
      <w:r w:rsidR="007F0657">
        <w:t xml:space="preserve"> further training, education and/or</w:t>
      </w:r>
      <w:r>
        <w:t xml:space="preserve"> employment</w:t>
      </w:r>
      <w:r w:rsidR="004021FF">
        <w:t>; and</w:t>
      </w:r>
    </w:p>
    <w:p w14:paraId="3953585E" w14:textId="77777777" w:rsidR="002139EC" w:rsidRDefault="007D2140" w:rsidP="00120114">
      <w:pPr>
        <w:pStyle w:val="ListParagraph"/>
        <w:numPr>
          <w:ilvl w:val="0"/>
          <w:numId w:val="21"/>
        </w:numPr>
        <w:spacing w:before="0" w:line="240" w:lineRule="auto"/>
        <w:ind w:left="284" w:hanging="284"/>
        <w:jc w:val="both"/>
      </w:pPr>
      <w:r>
        <w:t xml:space="preserve">Participating teachers equipped with industry current knowledge and experience. </w:t>
      </w:r>
    </w:p>
    <w:p w14:paraId="3953585F" w14:textId="77777777" w:rsidR="004021FF" w:rsidRDefault="007D2140" w:rsidP="00F74061">
      <w:pPr>
        <w:spacing w:after="120"/>
        <w:jc w:val="both"/>
      </w:pPr>
      <w:r>
        <w:t xml:space="preserve">Funded organisations </w:t>
      </w:r>
      <w:r w:rsidR="002868E5">
        <w:t xml:space="preserve">are required to </w:t>
      </w:r>
      <w:r w:rsidR="00DF75E6">
        <w:t xml:space="preserve">submit </w:t>
      </w:r>
      <w:r w:rsidR="002868E5">
        <w:t xml:space="preserve">regular reporting </w:t>
      </w:r>
      <w:r w:rsidR="00712B00">
        <w:t xml:space="preserve">addressing project progress, challenges and issues, any changes made to the project, </w:t>
      </w:r>
      <w:r w:rsidR="00881B0F">
        <w:t>participant demographics, participation rates and feedback obtained</w:t>
      </w:r>
      <w:r w:rsidR="0049586B">
        <w:t xml:space="preserve"> by students and teachers participated in the program</w:t>
      </w:r>
      <w:r w:rsidR="00881B0F">
        <w:t xml:space="preserve">. </w:t>
      </w:r>
    </w:p>
    <w:p w14:paraId="39535860" w14:textId="77777777" w:rsidR="00881B0F" w:rsidRDefault="007D2140" w:rsidP="004021FF">
      <w:pPr>
        <w:jc w:val="both"/>
      </w:pPr>
      <w:r>
        <w:t xml:space="preserve">For more detail, please refer to the draft Services Agreement at </w:t>
      </w:r>
      <w:hyperlink r:id="rId13" w:history="1">
        <w:r w:rsidR="00F74061" w:rsidRPr="00FA0D6E">
          <w:rPr>
            <w:rStyle w:val="Hyperlink"/>
          </w:rPr>
          <w:t>https://desbt.qld.gov.au/training/employers/gateway-schools</w:t>
        </w:r>
      </w:hyperlink>
      <w:r w:rsidR="00F74061">
        <w:t xml:space="preserve">. </w:t>
      </w:r>
    </w:p>
    <w:p w14:paraId="39535861" w14:textId="77777777" w:rsidR="00120114" w:rsidRPr="0051014F" w:rsidRDefault="007D2140" w:rsidP="00F35C36">
      <w:pPr>
        <w:pStyle w:val="Heading2"/>
        <w:spacing w:before="240"/>
        <w:jc w:val="both"/>
        <w:rPr>
          <w:sz w:val="32"/>
          <w:szCs w:val="32"/>
        </w:rPr>
      </w:pPr>
      <w:r w:rsidRPr="00196E03">
        <w:rPr>
          <w:sz w:val="32"/>
          <w:szCs w:val="32"/>
        </w:rPr>
        <w:t xml:space="preserve">What applications will not be </w:t>
      </w:r>
      <w:r w:rsidR="00FA68D9" w:rsidRPr="00196E03">
        <w:rPr>
          <w:sz w:val="32"/>
          <w:szCs w:val="32"/>
        </w:rPr>
        <w:t>considered</w:t>
      </w:r>
      <w:r w:rsidRPr="00196E03">
        <w:rPr>
          <w:sz w:val="32"/>
          <w:szCs w:val="32"/>
        </w:rPr>
        <w:t>?</w:t>
      </w:r>
    </w:p>
    <w:p w14:paraId="39535862" w14:textId="77777777" w:rsidR="00120114" w:rsidRDefault="007D2140" w:rsidP="003D0258">
      <w:pPr>
        <w:pStyle w:val="ListParagraph"/>
        <w:numPr>
          <w:ilvl w:val="0"/>
          <w:numId w:val="21"/>
        </w:numPr>
        <w:spacing w:before="0" w:after="0"/>
        <w:ind w:left="284" w:hanging="284"/>
        <w:contextualSpacing/>
      </w:pPr>
      <w:r>
        <w:t xml:space="preserve">Applications submitted by </w:t>
      </w:r>
      <w:r w:rsidR="00FA68D9">
        <w:t>ineligible organisations;</w:t>
      </w:r>
    </w:p>
    <w:p w14:paraId="39535863" w14:textId="77777777" w:rsidR="00120114" w:rsidRDefault="007D2140" w:rsidP="003D0258">
      <w:pPr>
        <w:pStyle w:val="ListParagraph"/>
        <w:numPr>
          <w:ilvl w:val="0"/>
          <w:numId w:val="21"/>
        </w:numPr>
        <w:spacing w:before="0" w:after="0"/>
        <w:ind w:left="284" w:hanging="284"/>
        <w:contextualSpacing/>
        <w:jc w:val="both"/>
      </w:pPr>
      <w:r>
        <w:t>Incomplete application</w:t>
      </w:r>
      <w:r w:rsidR="00FA68D9">
        <w:t>s;</w:t>
      </w:r>
    </w:p>
    <w:p w14:paraId="39535864" w14:textId="77777777" w:rsidR="00F4341F" w:rsidRDefault="007D2140" w:rsidP="003D0258">
      <w:pPr>
        <w:pStyle w:val="ListParagraph"/>
        <w:numPr>
          <w:ilvl w:val="0"/>
          <w:numId w:val="21"/>
        </w:numPr>
        <w:spacing w:before="0" w:after="0" w:line="240" w:lineRule="auto"/>
        <w:ind w:left="284" w:hanging="284"/>
        <w:jc w:val="both"/>
      </w:pPr>
      <w:r>
        <w:t>Applications that fail to meet the program objectives and funding purpose</w:t>
      </w:r>
      <w:r w:rsidR="00FA68D9">
        <w:t>;</w:t>
      </w:r>
    </w:p>
    <w:p w14:paraId="39535865" w14:textId="77777777" w:rsidR="00F4341F" w:rsidRDefault="007D2140" w:rsidP="003D0258">
      <w:pPr>
        <w:pStyle w:val="ListParagraph"/>
        <w:numPr>
          <w:ilvl w:val="0"/>
          <w:numId w:val="21"/>
        </w:numPr>
        <w:spacing w:before="0" w:after="0" w:line="240" w:lineRule="auto"/>
        <w:ind w:left="284" w:hanging="284"/>
        <w:jc w:val="both"/>
      </w:pPr>
      <w:r>
        <w:t>Applications that are unable to demonstrate knowledge and connections to Queensland-based schools</w:t>
      </w:r>
      <w:r w:rsidR="00FA68D9">
        <w:t>;</w:t>
      </w:r>
    </w:p>
    <w:p w14:paraId="39535866" w14:textId="77777777" w:rsidR="00F4341F" w:rsidRDefault="007D2140" w:rsidP="003D0258">
      <w:pPr>
        <w:pStyle w:val="ListParagraph"/>
        <w:numPr>
          <w:ilvl w:val="0"/>
          <w:numId w:val="21"/>
        </w:numPr>
        <w:spacing w:before="0" w:after="0" w:line="240" w:lineRule="auto"/>
        <w:ind w:left="284" w:hanging="284"/>
        <w:jc w:val="both"/>
      </w:pPr>
      <w:r>
        <w:t xml:space="preserve">Applications that are unable to demonstrate </w:t>
      </w:r>
      <w:r w:rsidR="00BA2D30">
        <w:t xml:space="preserve">their connection and </w:t>
      </w:r>
      <w:r w:rsidR="00CF6FE0">
        <w:t>expertise</w:t>
      </w:r>
      <w:r w:rsidR="00BA2D30">
        <w:t xml:space="preserve"> in the</w:t>
      </w:r>
      <w:r w:rsidR="00CF6FE0">
        <w:t xml:space="preserve"> nominated</w:t>
      </w:r>
      <w:r w:rsidR="00BA2D30">
        <w:t xml:space="preserve"> industry sector</w:t>
      </w:r>
      <w:r w:rsidR="00CF6FE0">
        <w:t>;</w:t>
      </w:r>
      <w:r w:rsidR="00196E03">
        <w:t xml:space="preserve"> and</w:t>
      </w:r>
    </w:p>
    <w:p w14:paraId="39535867" w14:textId="77777777" w:rsidR="0061330D" w:rsidRPr="0061330D" w:rsidRDefault="007D2140" w:rsidP="003D0258">
      <w:pPr>
        <w:pStyle w:val="ListParagraph"/>
        <w:numPr>
          <w:ilvl w:val="0"/>
          <w:numId w:val="21"/>
        </w:numPr>
        <w:spacing w:before="0" w:after="0" w:line="240" w:lineRule="auto"/>
        <w:ind w:left="284" w:hanging="284"/>
        <w:jc w:val="both"/>
        <w:rPr>
          <w:rFonts w:ascii="Segoe UI" w:hAnsi="Segoe UI" w:cs="Segoe UI"/>
          <w:color w:val="0D0D0D"/>
          <w:sz w:val="24"/>
          <w:lang w:eastAsia="ko-KR"/>
        </w:rPr>
      </w:pPr>
      <w:r>
        <w:t>Organisations that have received full funding from other funding sources to provide the same services</w:t>
      </w:r>
      <w:r w:rsidR="0032063B">
        <w:t>.</w:t>
      </w:r>
    </w:p>
    <w:p w14:paraId="39535868" w14:textId="77777777" w:rsidR="001A2696" w:rsidRPr="0051014F" w:rsidRDefault="007D2140" w:rsidP="00F35C36">
      <w:pPr>
        <w:pStyle w:val="Heading2"/>
        <w:spacing w:before="240"/>
        <w:jc w:val="both"/>
        <w:rPr>
          <w:sz w:val="32"/>
          <w:szCs w:val="32"/>
        </w:rPr>
      </w:pPr>
      <w:r>
        <w:rPr>
          <w:sz w:val="32"/>
          <w:szCs w:val="32"/>
        </w:rPr>
        <w:t>Program funding</w:t>
      </w:r>
    </w:p>
    <w:p w14:paraId="39535869" w14:textId="77777777" w:rsidR="005510B9" w:rsidRDefault="007D2140" w:rsidP="00F4341F">
      <w:pPr>
        <w:spacing w:after="120"/>
        <w:jc w:val="both"/>
      </w:pPr>
      <w:r>
        <w:t xml:space="preserve">The successful applicants will be offered a three-year services agreement with </w:t>
      </w:r>
      <w:r w:rsidR="0032063B">
        <w:t xml:space="preserve">a </w:t>
      </w:r>
      <w:r>
        <w:t xml:space="preserve">financial value </w:t>
      </w:r>
      <w:r w:rsidR="0062423B">
        <w:t xml:space="preserve">of </w:t>
      </w:r>
      <w:r>
        <w:t xml:space="preserve">$765,000 (GST exclusive). The delivery period will be from 1 February 2025 to 31 January 2028. </w:t>
      </w:r>
    </w:p>
    <w:p w14:paraId="3953586A" w14:textId="77777777" w:rsidR="00F4341F" w:rsidRDefault="007D2140" w:rsidP="00F4341F">
      <w:pPr>
        <w:spacing w:after="120"/>
        <w:jc w:val="both"/>
      </w:pPr>
      <w:r>
        <w:t>Project funds can only be expended on costs directly associated with an approved project. Some of the items project funding can be used for include:</w:t>
      </w:r>
    </w:p>
    <w:p w14:paraId="3953586B" w14:textId="77777777" w:rsidR="00F4341F" w:rsidRDefault="007D2140" w:rsidP="009B126E">
      <w:pPr>
        <w:pStyle w:val="ListParagraph"/>
        <w:numPr>
          <w:ilvl w:val="0"/>
          <w:numId w:val="21"/>
        </w:numPr>
        <w:ind w:left="284" w:hanging="284"/>
        <w:contextualSpacing/>
        <w:jc w:val="both"/>
      </w:pPr>
      <w:r>
        <w:t>Staff wages</w:t>
      </w:r>
    </w:p>
    <w:p w14:paraId="3953586C" w14:textId="77777777" w:rsidR="00F4341F" w:rsidRDefault="007D2140" w:rsidP="009B126E">
      <w:pPr>
        <w:pStyle w:val="ListParagraph"/>
        <w:numPr>
          <w:ilvl w:val="0"/>
          <w:numId w:val="21"/>
        </w:numPr>
        <w:ind w:left="284" w:hanging="284"/>
        <w:contextualSpacing/>
        <w:jc w:val="both"/>
      </w:pPr>
      <w:r>
        <w:t>Equipment hire</w:t>
      </w:r>
    </w:p>
    <w:p w14:paraId="3953586D" w14:textId="77777777" w:rsidR="00F4341F" w:rsidRDefault="007D2140" w:rsidP="009B126E">
      <w:pPr>
        <w:pStyle w:val="ListParagraph"/>
        <w:numPr>
          <w:ilvl w:val="0"/>
          <w:numId w:val="21"/>
        </w:numPr>
        <w:ind w:left="284" w:hanging="284"/>
        <w:contextualSpacing/>
        <w:jc w:val="both"/>
      </w:pPr>
      <w:r>
        <w:t>Venue hire</w:t>
      </w:r>
    </w:p>
    <w:p w14:paraId="3953586E" w14:textId="77777777" w:rsidR="00F4341F" w:rsidRDefault="007D2140" w:rsidP="009B126E">
      <w:pPr>
        <w:pStyle w:val="ListParagraph"/>
        <w:numPr>
          <w:ilvl w:val="0"/>
          <w:numId w:val="21"/>
        </w:numPr>
        <w:ind w:left="284" w:hanging="284"/>
        <w:contextualSpacing/>
        <w:jc w:val="both"/>
      </w:pPr>
      <w:r>
        <w:t>Advertising and marketing of the project</w:t>
      </w:r>
    </w:p>
    <w:p w14:paraId="3953586F" w14:textId="77777777" w:rsidR="00F4341F" w:rsidRDefault="007D2140" w:rsidP="009B126E">
      <w:pPr>
        <w:pStyle w:val="ListParagraph"/>
        <w:numPr>
          <w:ilvl w:val="0"/>
          <w:numId w:val="21"/>
        </w:numPr>
        <w:ind w:left="284" w:hanging="284"/>
        <w:contextualSpacing/>
        <w:jc w:val="both"/>
      </w:pPr>
      <w:r>
        <w:t>Intrastate travel and transport costs associated with participants engaging in project activities</w:t>
      </w:r>
    </w:p>
    <w:p w14:paraId="39535870" w14:textId="77777777" w:rsidR="00F4341F" w:rsidRDefault="007D2140" w:rsidP="009B126E">
      <w:pPr>
        <w:pStyle w:val="ListParagraph"/>
        <w:numPr>
          <w:ilvl w:val="0"/>
          <w:numId w:val="21"/>
        </w:numPr>
        <w:ind w:left="284" w:hanging="284"/>
        <w:contextualSpacing/>
        <w:jc w:val="both"/>
      </w:pPr>
      <w:r>
        <w:t>Cost of materials that are required for the project</w:t>
      </w:r>
    </w:p>
    <w:p w14:paraId="39535871" w14:textId="77777777" w:rsidR="00F4341F" w:rsidRDefault="007D2140" w:rsidP="009B126E">
      <w:pPr>
        <w:pStyle w:val="ListParagraph"/>
        <w:numPr>
          <w:ilvl w:val="0"/>
          <w:numId w:val="21"/>
        </w:numPr>
        <w:ind w:left="284" w:hanging="284"/>
        <w:contextualSpacing/>
        <w:jc w:val="both"/>
      </w:pPr>
      <w:r>
        <w:t>Other administration required for the project</w:t>
      </w:r>
    </w:p>
    <w:p w14:paraId="39535872" w14:textId="77777777" w:rsidR="00F4341F" w:rsidRDefault="007D2140" w:rsidP="00F4341F">
      <w:pPr>
        <w:spacing w:after="120"/>
        <w:jc w:val="both"/>
      </w:pPr>
      <w:r>
        <w:t xml:space="preserve">The following costs or use of funds </w:t>
      </w:r>
      <w:r w:rsidR="007B0C46">
        <w:t>are not</w:t>
      </w:r>
      <w:r w:rsidR="007D093E">
        <w:t xml:space="preserve"> permitted</w:t>
      </w:r>
      <w:r>
        <w:t>:</w:t>
      </w:r>
    </w:p>
    <w:p w14:paraId="39535873" w14:textId="77777777" w:rsidR="00F4341F" w:rsidRDefault="007D2140" w:rsidP="00F4341F">
      <w:pPr>
        <w:pStyle w:val="ListParagraph"/>
        <w:numPr>
          <w:ilvl w:val="0"/>
          <w:numId w:val="21"/>
        </w:numPr>
        <w:spacing w:before="0" w:line="240" w:lineRule="auto"/>
        <w:ind w:left="284" w:hanging="284"/>
        <w:jc w:val="both"/>
      </w:pPr>
      <w:r>
        <w:t>Capital expenditure e.g. purchase of buildings or vehicle, office equipment</w:t>
      </w:r>
    </w:p>
    <w:p w14:paraId="39535874" w14:textId="77777777" w:rsidR="00F4341F" w:rsidRDefault="007D2140" w:rsidP="00F4341F">
      <w:pPr>
        <w:pStyle w:val="ListParagraph"/>
        <w:numPr>
          <w:ilvl w:val="0"/>
          <w:numId w:val="21"/>
        </w:numPr>
        <w:spacing w:before="0" w:line="240" w:lineRule="auto"/>
        <w:ind w:left="284" w:hanging="284"/>
        <w:jc w:val="both"/>
      </w:pPr>
      <w:r>
        <w:t>Any recurrent costs e.g. ongoing staff costs, core function of the organisation</w:t>
      </w:r>
    </w:p>
    <w:p w14:paraId="39535875" w14:textId="77777777" w:rsidR="00F4341F" w:rsidRDefault="007D2140" w:rsidP="00F4341F">
      <w:pPr>
        <w:spacing w:after="120"/>
        <w:jc w:val="both"/>
      </w:pPr>
      <w:r>
        <w:t xml:space="preserve">Funding from other sources must be disclosed to DESBT. To avoid duplication of services, funding is not available for the same service being delivered through other initiatives or programs.  </w:t>
      </w:r>
    </w:p>
    <w:p w14:paraId="39535876" w14:textId="77777777" w:rsidR="00750540" w:rsidRPr="00750540" w:rsidRDefault="007D2140" w:rsidP="00750540">
      <w:pPr>
        <w:pStyle w:val="Heading2"/>
        <w:spacing w:before="240"/>
        <w:rPr>
          <w:sz w:val="32"/>
          <w:szCs w:val="32"/>
        </w:rPr>
      </w:pPr>
      <w:r w:rsidRPr="00750540">
        <w:rPr>
          <w:sz w:val="32"/>
          <w:szCs w:val="32"/>
        </w:rPr>
        <w:t>What are the funding conditions?</w:t>
      </w:r>
    </w:p>
    <w:p w14:paraId="39535877" w14:textId="77777777" w:rsidR="00750540" w:rsidRDefault="007D2140" w:rsidP="00750540">
      <w:pPr>
        <w:spacing w:after="120"/>
        <w:jc w:val="both"/>
      </w:pPr>
      <w:r>
        <w:t>Successful applicants must enter into a formal Services Agreement with DESBT, which will include standard key performance indicators.</w:t>
      </w:r>
    </w:p>
    <w:p w14:paraId="39535878" w14:textId="77777777" w:rsidR="00750540" w:rsidRDefault="007D2140" w:rsidP="00750540">
      <w:pPr>
        <w:spacing w:after="120"/>
        <w:jc w:val="both"/>
      </w:pPr>
      <w:r>
        <w:t>All projects must be fully acquitted after completion and any unexpended or surplus funds returned to DESBT.</w:t>
      </w:r>
    </w:p>
    <w:p w14:paraId="39535879" w14:textId="77777777" w:rsidR="00750540" w:rsidRDefault="007D2140" w:rsidP="009B7499">
      <w:pPr>
        <w:spacing w:after="120"/>
      </w:pPr>
      <w:r>
        <w:t xml:space="preserve">A copy of the Services Agreement, which is performance based and outlines the standard terms and conditions of funding, is available on the DESBT page at </w:t>
      </w:r>
      <w:hyperlink r:id="rId14" w:history="1">
        <w:r w:rsidRPr="00773ED6">
          <w:rPr>
            <w:rStyle w:val="Hyperlink"/>
          </w:rPr>
          <w:t>https://desbt.qld.gov.au/training/employers/gateway-schools</w:t>
        </w:r>
      </w:hyperlink>
    </w:p>
    <w:p w14:paraId="3953587A" w14:textId="77777777" w:rsidR="004D4392" w:rsidRPr="00B41349" w:rsidRDefault="007D2140" w:rsidP="00F35C36">
      <w:pPr>
        <w:pStyle w:val="Heading2"/>
        <w:spacing w:before="240"/>
        <w:jc w:val="both"/>
        <w:rPr>
          <w:sz w:val="32"/>
          <w:szCs w:val="22"/>
        </w:rPr>
      </w:pPr>
      <w:r w:rsidRPr="00B41349">
        <w:rPr>
          <w:sz w:val="32"/>
          <w:szCs w:val="22"/>
        </w:rPr>
        <w:t xml:space="preserve">Application process </w:t>
      </w:r>
    </w:p>
    <w:p w14:paraId="3953587B" w14:textId="77777777" w:rsidR="001A2696" w:rsidRPr="005631EB" w:rsidRDefault="007D2140" w:rsidP="00F35C36">
      <w:pPr>
        <w:pStyle w:val="Heading2"/>
        <w:spacing w:before="240"/>
        <w:jc w:val="both"/>
        <w:rPr>
          <w:sz w:val="32"/>
          <w:szCs w:val="22"/>
        </w:rPr>
      </w:pPr>
      <w:r w:rsidRPr="00B41349">
        <w:rPr>
          <w:sz w:val="32"/>
          <w:szCs w:val="22"/>
        </w:rPr>
        <w:t>How to apply</w:t>
      </w:r>
    </w:p>
    <w:p w14:paraId="3953587C" w14:textId="77777777" w:rsidR="00FB44C1" w:rsidRDefault="007D2140" w:rsidP="00DD646D">
      <w:pPr>
        <w:spacing w:after="120"/>
        <w:jc w:val="both"/>
        <w:rPr>
          <w:rFonts w:cs="Arial"/>
        </w:rPr>
      </w:pPr>
      <w:r w:rsidRPr="001A2A54">
        <w:rPr>
          <w:rFonts w:cs="Arial"/>
        </w:rPr>
        <w:t xml:space="preserve">Organisations should submit applications </w:t>
      </w:r>
      <w:r w:rsidR="004E07C1">
        <w:rPr>
          <w:rFonts w:cs="Arial"/>
        </w:rPr>
        <w:t xml:space="preserve">and supporting documents </w:t>
      </w:r>
      <w:r w:rsidR="00094BEC">
        <w:rPr>
          <w:rFonts w:cs="Arial"/>
        </w:rPr>
        <w:t xml:space="preserve">via </w:t>
      </w:r>
      <w:r w:rsidR="00FE00AC">
        <w:rPr>
          <w:rFonts w:cs="Arial"/>
        </w:rPr>
        <w:t>JIRA</w:t>
      </w:r>
      <w:r w:rsidR="00094BEC">
        <w:rPr>
          <w:rFonts w:cs="Arial"/>
        </w:rPr>
        <w:t xml:space="preserve"> online application</w:t>
      </w:r>
      <w:r>
        <w:rPr>
          <w:rFonts w:cs="Arial"/>
        </w:rPr>
        <w:t xml:space="preserve">. </w:t>
      </w:r>
    </w:p>
    <w:p w14:paraId="3953587D" w14:textId="77777777" w:rsidR="001A2696" w:rsidRDefault="007D2140" w:rsidP="00DD646D">
      <w:pPr>
        <w:spacing w:after="120"/>
        <w:jc w:val="both"/>
        <w:rPr>
          <w:rFonts w:cs="Arial"/>
          <w:b/>
          <w:bCs/>
        </w:rPr>
      </w:pPr>
      <w:r>
        <w:rPr>
          <w:rFonts w:cs="Arial"/>
        </w:rPr>
        <w:t xml:space="preserve">Applications will open on </w:t>
      </w:r>
      <w:r w:rsidR="00E060FF">
        <w:rPr>
          <w:rFonts w:cs="Arial"/>
        </w:rPr>
        <w:t>15</w:t>
      </w:r>
      <w:r w:rsidR="00303F92" w:rsidRPr="003D54DC">
        <w:rPr>
          <w:rFonts w:cs="Arial"/>
        </w:rPr>
        <w:t xml:space="preserve"> July</w:t>
      </w:r>
      <w:r w:rsidRPr="003D54DC">
        <w:rPr>
          <w:rFonts w:cs="Arial"/>
        </w:rPr>
        <w:t xml:space="preserve"> </w:t>
      </w:r>
      <w:r w:rsidR="00586E3B" w:rsidRPr="003D54DC">
        <w:rPr>
          <w:rFonts w:cs="Arial"/>
        </w:rPr>
        <w:t xml:space="preserve">2024 and close at 5pm Friday </w:t>
      </w:r>
      <w:r w:rsidR="00E060FF">
        <w:rPr>
          <w:rFonts w:cs="Arial"/>
        </w:rPr>
        <w:t>9</w:t>
      </w:r>
      <w:r w:rsidR="003D54DC" w:rsidRPr="003D54DC">
        <w:rPr>
          <w:rFonts w:cs="Arial"/>
        </w:rPr>
        <w:t xml:space="preserve"> August</w:t>
      </w:r>
      <w:r w:rsidR="00586E3B" w:rsidRPr="003D54DC">
        <w:rPr>
          <w:rFonts w:cs="Arial"/>
        </w:rPr>
        <w:t xml:space="preserve"> 2024</w:t>
      </w:r>
      <w:r w:rsidR="00DD646D" w:rsidRPr="003D54DC">
        <w:rPr>
          <w:rFonts w:cs="Arial"/>
          <w:b/>
          <w:bCs/>
        </w:rPr>
        <w:t>.</w:t>
      </w:r>
      <w:r w:rsidR="00DD646D">
        <w:rPr>
          <w:rFonts w:cs="Arial"/>
          <w:b/>
          <w:bCs/>
        </w:rPr>
        <w:t xml:space="preserve"> </w:t>
      </w:r>
    </w:p>
    <w:p w14:paraId="3953587E" w14:textId="77777777" w:rsidR="00CE4BEB" w:rsidRDefault="007D2140" w:rsidP="00DD646D">
      <w:pPr>
        <w:spacing w:after="120"/>
        <w:jc w:val="both"/>
        <w:rPr>
          <w:rFonts w:cs="Arial"/>
        </w:rPr>
      </w:pPr>
      <w:r w:rsidRPr="00CE4BEB">
        <w:rPr>
          <w:rFonts w:cs="Arial"/>
        </w:rPr>
        <w:t>Applicants must include</w:t>
      </w:r>
      <w:r>
        <w:rPr>
          <w:rFonts w:cs="Arial"/>
        </w:rPr>
        <w:t xml:space="preserve"> the following supporting documents</w:t>
      </w:r>
      <w:r w:rsidRPr="00CE4BEB">
        <w:rPr>
          <w:rFonts w:cs="Arial"/>
        </w:rPr>
        <w:t>:</w:t>
      </w:r>
    </w:p>
    <w:p w14:paraId="3873E610" w14:textId="1D92C7CD" w:rsidR="00C97920" w:rsidRPr="00CE4BEB" w:rsidRDefault="00C97920" w:rsidP="00465149">
      <w:pPr>
        <w:pStyle w:val="ListParagraph"/>
        <w:numPr>
          <w:ilvl w:val="0"/>
          <w:numId w:val="21"/>
        </w:numPr>
        <w:ind w:left="284" w:hanging="284"/>
        <w:contextualSpacing/>
        <w:jc w:val="both"/>
        <w:rPr>
          <w:rFonts w:cs="Arial"/>
        </w:rPr>
      </w:pPr>
      <w:r>
        <w:rPr>
          <w:rFonts w:cs="Arial"/>
        </w:rPr>
        <w:t>Letter/s of commitment from industry organisation/s and peak bodies</w:t>
      </w:r>
    </w:p>
    <w:p w14:paraId="3953587F" w14:textId="3893E0DE" w:rsidR="00CE4BEB" w:rsidRPr="00B73395" w:rsidRDefault="007D2140" w:rsidP="009B126E">
      <w:pPr>
        <w:pStyle w:val="ListParagraph"/>
        <w:numPr>
          <w:ilvl w:val="0"/>
          <w:numId w:val="21"/>
        </w:numPr>
        <w:ind w:left="284" w:hanging="284"/>
        <w:contextualSpacing/>
        <w:jc w:val="both"/>
      </w:pPr>
      <w:r w:rsidRPr="00B73395">
        <w:t>Letter/s of commitment from employer/</w:t>
      </w:r>
      <w:proofErr w:type="gramStart"/>
      <w:r w:rsidRPr="00B73395">
        <w:t>s;</w:t>
      </w:r>
      <w:proofErr w:type="gramEnd"/>
    </w:p>
    <w:p w14:paraId="39535880" w14:textId="77777777" w:rsidR="00CE4BEB" w:rsidRPr="00B73395" w:rsidRDefault="007D2140" w:rsidP="009B126E">
      <w:pPr>
        <w:pStyle w:val="ListParagraph"/>
        <w:numPr>
          <w:ilvl w:val="0"/>
          <w:numId w:val="21"/>
        </w:numPr>
        <w:ind w:left="284" w:hanging="284"/>
        <w:contextualSpacing/>
        <w:jc w:val="both"/>
      </w:pPr>
      <w:r w:rsidRPr="00B73395">
        <w:t>Letter/s of commitment from school/s; and</w:t>
      </w:r>
    </w:p>
    <w:p w14:paraId="39535881" w14:textId="1CDD0EE2" w:rsidR="00CE4BEB" w:rsidRPr="00CE4BEB" w:rsidRDefault="00203B46" w:rsidP="009B126E">
      <w:pPr>
        <w:pStyle w:val="ListParagraph"/>
        <w:numPr>
          <w:ilvl w:val="0"/>
          <w:numId w:val="21"/>
        </w:numPr>
        <w:ind w:left="284" w:hanging="284"/>
        <w:contextualSpacing/>
        <w:jc w:val="both"/>
        <w:rPr>
          <w:rFonts w:cs="Arial"/>
        </w:rPr>
      </w:pPr>
      <w:r>
        <w:t>Annual work plan</w:t>
      </w:r>
      <w:r w:rsidR="00731E45">
        <w:rPr>
          <w:rFonts w:cs="Arial"/>
        </w:rPr>
        <w:t>.</w:t>
      </w:r>
    </w:p>
    <w:p w14:paraId="39535882" w14:textId="77777777" w:rsidR="00A558EF" w:rsidRDefault="007D2140" w:rsidP="009B126E">
      <w:pPr>
        <w:spacing w:before="120" w:after="120"/>
        <w:jc w:val="both"/>
        <w:rPr>
          <w:rFonts w:cs="Arial"/>
        </w:rPr>
      </w:pPr>
      <w:r>
        <w:rPr>
          <w:rFonts w:cs="Arial"/>
        </w:rPr>
        <w:t xml:space="preserve">An acknowledgement email from </w:t>
      </w:r>
      <w:r w:rsidR="005214F2">
        <w:rPr>
          <w:rFonts w:cs="Arial"/>
        </w:rPr>
        <w:t xml:space="preserve">the </w:t>
      </w:r>
      <w:r w:rsidR="000A7519">
        <w:rPr>
          <w:rFonts w:cs="Arial"/>
        </w:rPr>
        <w:t xml:space="preserve">JIRA platform </w:t>
      </w:r>
      <w:r>
        <w:rPr>
          <w:rFonts w:cs="Arial"/>
        </w:rPr>
        <w:t xml:space="preserve">will be </w:t>
      </w:r>
      <w:r w:rsidR="00A0644B">
        <w:rPr>
          <w:rFonts w:cs="Arial"/>
        </w:rPr>
        <w:t>provided</w:t>
      </w:r>
      <w:r>
        <w:rPr>
          <w:rFonts w:cs="Arial"/>
        </w:rPr>
        <w:t xml:space="preserve"> </w:t>
      </w:r>
      <w:r w:rsidR="00224CCF">
        <w:rPr>
          <w:rFonts w:cs="Arial"/>
        </w:rPr>
        <w:t>upon</w:t>
      </w:r>
      <w:r>
        <w:rPr>
          <w:rFonts w:cs="Arial"/>
        </w:rPr>
        <w:t xml:space="preserve"> </w:t>
      </w:r>
      <w:r w:rsidR="00850133">
        <w:rPr>
          <w:rFonts w:cs="Arial"/>
        </w:rPr>
        <w:t>successful</w:t>
      </w:r>
      <w:r>
        <w:rPr>
          <w:rFonts w:cs="Arial"/>
        </w:rPr>
        <w:t xml:space="preserve"> submi</w:t>
      </w:r>
      <w:r w:rsidR="00224CCF">
        <w:rPr>
          <w:rFonts w:cs="Arial"/>
        </w:rPr>
        <w:t xml:space="preserve">ssion of an </w:t>
      </w:r>
      <w:r>
        <w:rPr>
          <w:rFonts w:cs="Arial"/>
        </w:rPr>
        <w:t xml:space="preserve">application and </w:t>
      </w:r>
      <w:r w:rsidR="00417F47">
        <w:rPr>
          <w:rFonts w:cs="Arial"/>
        </w:rPr>
        <w:t>supporting</w:t>
      </w:r>
      <w:r>
        <w:rPr>
          <w:rFonts w:cs="Arial"/>
        </w:rPr>
        <w:t xml:space="preserve"> documents. </w:t>
      </w:r>
    </w:p>
    <w:p w14:paraId="39535883" w14:textId="77777777" w:rsidR="00143BC0" w:rsidRPr="0066022E" w:rsidRDefault="007D2140" w:rsidP="00A558EF">
      <w:pPr>
        <w:pStyle w:val="Bodycopy"/>
        <w:spacing w:before="120"/>
        <w:jc w:val="both"/>
        <w:rPr>
          <w:rFonts w:cs="Arial"/>
        </w:rPr>
      </w:pPr>
      <w:r w:rsidRPr="0066022E">
        <w:rPr>
          <w:rFonts w:cs="Arial"/>
        </w:rPr>
        <w:t>DESBT reserves the right to:</w:t>
      </w:r>
    </w:p>
    <w:p w14:paraId="39535884" w14:textId="77777777" w:rsidR="00143BC0" w:rsidRDefault="007D2140" w:rsidP="009B126E">
      <w:pPr>
        <w:pStyle w:val="ListParagraph"/>
        <w:numPr>
          <w:ilvl w:val="0"/>
          <w:numId w:val="21"/>
        </w:numPr>
        <w:ind w:left="284" w:hanging="284"/>
        <w:contextualSpacing/>
        <w:jc w:val="both"/>
      </w:pPr>
      <w:r w:rsidRPr="00B73395">
        <w:t xml:space="preserve">extend the </w:t>
      </w:r>
      <w:r w:rsidRPr="00DD646D">
        <w:t>closing date and other dates specified in this document;</w:t>
      </w:r>
    </w:p>
    <w:p w14:paraId="39535885" w14:textId="77777777" w:rsidR="009B7499" w:rsidRPr="00DD646D" w:rsidRDefault="007D2140" w:rsidP="009B126E">
      <w:pPr>
        <w:pStyle w:val="ListParagraph"/>
        <w:numPr>
          <w:ilvl w:val="0"/>
          <w:numId w:val="21"/>
        </w:numPr>
        <w:ind w:left="284" w:hanging="284"/>
        <w:contextualSpacing/>
        <w:jc w:val="both"/>
      </w:pPr>
      <w:r>
        <w:lastRenderedPageBreak/>
        <w:t>decide funding process for industry projects;</w:t>
      </w:r>
    </w:p>
    <w:p w14:paraId="39535886" w14:textId="77777777" w:rsidR="00143BC0" w:rsidRPr="00DD646D" w:rsidRDefault="007D2140" w:rsidP="009B126E">
      <w:pPr>
        <w:pStyle w:val="ListParagraph"/>
        <w:numPr>
          <w:ilvl w:val="0"/>
          <w:numId w:val="21"/>
        </w:numPr>
        <w:ind w:left="284" w:hanging="284"/>
        <w:contextualSpacing/>
        <w:jc w:val="both"/>
      </w:pPr>
      <w:r w:rsidRPr="00DD646D">
        <w:t xml:space="preserve">vary the </w:t>
      </w:r>
      <w:r w:rsidR="00DD646D" w:rsidRPr="00DD646D">
        <w:t xml:space="preserve">funding </w:t>
      </w:r>
      <w:r w:rsidRPr="00DD646D">
        <w:t xml:space="preserve">requirements at any time, subject to </w:t>
      </w:r>
      <w:r w:rsidR="00A647F7">
        <w:t>DESBT</w:t>
      </w:r>
      <w:r w:rsidRPr="00DD646D">
        <w:t xml:space="preserve"> first giving each respondent the opportunity to respond to the submissions;</w:t>
      </w:r>
    </w:p>
    <w:p w14:paraId="39535887" w14:textId="77777777" w:rsidR="00143BC0" w:rsidRPr="00DD646D" w:rsidRDefault="007D2140" w:rsidP="009B126E">
      <w:pPr>
        <w:pStyle w:val="ListParagraph"/>
        <w:numPr>
          <w:ilvl w:val="0"/>
          <w:numId w:val="21"/>
        </w:numPr>
        <w:ind w:left="284" w:hanging="284"/>
        <w:contextualSpacing/>
        <w:jc w:val="both"/>
      </w:pPr>
      <w:r w:rsidRPr="00DD646D">
        <w:t>exclude from consideration an</w:t>
      </w:r>
      <w:r w:rsidR="00DD646D">
        <w:t xml:space="preserve"> application </w:t>
      </w:r>
      <w:r w:rsidRPr="00DD646D">
        <w:t>that has not been submitted by the due date;</w:t>
      </w:r>
    </w:p>
    <w:p w14:paraId="39535888" w14:textId="77777777" w:rsidR="00143BC0" w:rsidRPr="009B126E" w:rsidRDefault="007D2140" w:rsidP="009B126E">
      <w:pPr>
        <w:pStyle w:val="ListParagraph"/>
        <w:numPr>
          <w:ilvl w:val="0"/>
          <w:numId w:val="21"/>
        </w:numPr>
        <w:ind w:left="284" w:hanging="284"/>
        <w:contextualSpacing/>
        <w:jc w:val="both"/>
      </w:pPr>
      <w:r w:rsidRPr="00DD646D">
        <w:t>seek advice of external parties in the evaluation of proposals</w:t>
      </w:r>
      <w:r w:rsidRPr="009B126E">
        <w:t>;</w:t>
      </w:r>
      <w:r w:rsidR="004E07C1" w:rsidRPr="009B126E">
        <w:t xml:space="preserve"> and</w:t>
      </w:r>
    </w:p>
    <w:p w14:paraId="39535889" w14:textId="77777777" w:rsidR="00A558EF" w:rsidRDefault="007D2140" w:rsidP="009B126E">
      <w:pPr>
        <w:pStyle w:val="ListParagraph"/>
        <w:numPr>
          <w:ilvl w:val="0"/>
          <w:numId w:val="21"/>
        </w:numPr>
        <w:ind w:left="284" w:hanging="284"/>
        <w:contextualSpacing/>
        <w:jc w:val="both"/>
      </w:pPr>
      <w:r w:rsidRPr="009B126E">
        <w:t xml:space="preserve">negotiate with </w:t>
      </w:r>
      <w:r w:rsidR="00850133" w:rsidRPr="00B73395">
        <w:t>applicants</w:t>
      </w:r>
      <w:r w:rsidRPr="00B73395">
        <w:t>.</w:t>
      </w:r>
    </w:p>
    <w:p w14:paraId="3953588A" w14:textId="77777777" w:rsidR="00DA1BC8" w:rsidRDefault="007D2140" w:rsidP="00DA1BC8">
      <w:pPr>
        <w:contextualSpacing/>
        <w:jc w:val="both"/>
      </w:pPr>
      <w:r>
        <w:t>Without limitation, DESBT may, in its sole discretion:</w:t>
      </w:r>
    </w:p>
    <w:p w14:paraId="3953588B" w14:textId="77777777" w:rsidR="00DA1BC8" w:rsidRPr="00A33D6B" w:rsidRDefault="007D2140" w:rsidP="009B126E">
      <w:pPr>
        <w:pStyle w:val="ListParagraph"/>
        <w:numPr>
          <w:ilvl w:val="0"/>
          <w:numId w:val="21"/>
        </w:numPr>
        <w:ind w:left="284" w:hanging="284"/>
        <w:contextualSpacing/>
        <w:jc w:val="both"/>
      </w:pPr>
      <w:r>
        <w:t>apply such criteria and weightings as DESBT sees fit</w:t>
      </w:r>
      <w:r w:rsidR="007B38FF">
        <w:t>; and</w:t>
      </w:r>
    </w:p>
    <w:p w14:paraId="3953588C" w14:textId="77777777" w:rsidR="00DA1BC8" w:rsidRDefault="007D2140" w:rsidP="00A33D6B">
      <w:pPr>
        <w:pStyle w:val="ListParagraph"/>
        <w:numPr>
          <w:ilvl w:val="0"/>
          <w:numId w:val="21"/>
        </w:numPr>
        <w:ind w:left="284" w:hanging="284"/>
        <w:contextualSpacing/>
        <w:jc w:val="both"/>
      </w:pPr>
      <w:r>
        <w:t>not accept any application.</w:t>
      </w:r>
    </w:p>
    <w:p w14:paraId="3953588D" w14:textId="77777777" w:rsidR="00B62E35" w:rsidRPr="00A33D6B" w:rsidRDefault="00B62E35" w:rsidP="00B62E35">
      <w:pPr>
        <w:jc w:val="both"/>
      </w:pPr>
    </w:p>
    <w:p w14:paraId="3953588E" w14:textId="77777777" w:rsidR="00A77817" w:rsidRDefault="00A77817" w:rsidP="00F35C36">
      <w:pPr>
        <w:pStyle w:val="Heading2"/>
        <w:spacing w:before="240"/>
        <w:rPr>
          <w:sz w:val="32"/>
          <w:szCs w:val="22"/>
          <w:highlight w:val="yellow"/>
        </w:rPr>
        <w:sectPr w:rsidR="00A77817" w:rsidSect="008E3F29">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720" w:right="720" w:bottom="720" w:left="720" w:header="567" w:footer="567" w:gutter="0"/>
          <w:cols w:num="2" w:space="709"/>
          <w:formProt w:val="0"/>
          <w:titlePg/>
          <w:docGrid w:linePitch="299"/>
        </w:sectPr>
      </w:pPr>
    </w:p>
    <w:p w14:paraId="3953588F" w14:textId="77777777" w:rsidR="00921A03" w:rsidRPr="0051014F" w:rsidRDefault="007D2140" w:rsidP="00F35C36">
      <w:pPr>
        <w:pStyle w:val="Heading2"/>
        <w:spacing w:before="240"/>
        <w:rPr>
          <w:sz w:val="32"/>
          <w:szCs w:val="22"/>
        </w:rPr>
      </w:pPr>
      <w:r w:rsidRPr="008236B5">
        <w:rPr>
          <w:sz w:val="32"/>
          <w:szCs w:val="22"/>
        </w:rPr>
        <w:lastRenderedPageBreak/>
        <w:t xml:space="preserve">How applications will be </w:t>
      </w:r>
      <w:r w:rsidR="00A77817" w:rsidRPr="008236B5">
        <w:rPr>
          <w:sz w:val="32"/>
          <w:szCs w:val="22"/>
        </w:rPr>
        <w:t>a</w:t>
      </w:r>
      <w:r w:rsidRPr="008236B5">
        <w:rPr>
          <w:sz w:val="32"/>
          <w:szCs w:val="22"/>
        </w:rPr>
        <w:t>ssessed</w:t>
      </w:r>
      <w:r w:rsidR="00A647F7" w:rsidRPr="008236B5">
        <w:rPr>
          <w:sz w:val="32"/>
          <w:szCs w:val="22"/>
        </w:rPr>
        <w:t>?</w:t>
      </w:r>
      <w:r w:rsidR="000C1E24" w:rsidRPr="008236B5">
        <w:rPr>
          <w:sz w:val="32"/>
          <w:szCs w:val="22"/>
        </w:rPr>
        <w:t xml:space="preserve"> –</w:t>
      </w:r>
      <w:r w:rsidR="000C1E24">
        <w:rPr>
          <w:sz w:val="32"/>
          <w:szCs w:val="22"/>
        </w:rPr>
        <w:t xml:space="preserve"> more detail</w:t>
      </w:r>
    </w:p>
    <w:p w14:paraId="39535890" w14:textId="77777777" w:rsidR="00F4341F" w:rsidRDefault="007D2140" w:rsidP="00F4341F">
      <w:pPr>
        <w:pStyle w:val="Bodycopy"/>
        <w:spacing w:after="120"/>
        <w:jc w:val="both"/>
      </w:pPr>
      <w:r>
        <w:t xml:space="preserve">Applications submitted will </w:t>
      </w:r>
      <w:r w:rsidR="00CC18ED">
        <w:t xml:space="preserve">undergo an initial </w:t>
      </w:r>
      <w:r w:rsidR="00C41C90">
        <w:t xml:space="preserve">assessment to determine their eligibility. Eligible </w:t>
      </w:r>
      <w:r>
        <w:t xml:space="preserve">applications will </w:t>
      </w:r>
      <w:r w:rsidR="00C41C90">
        <w:t xml:space="preserve">then </w:t>
      </w:r>
      <w:r>
        <w:t xml:space="preserve">be assessed by a </w:t>
      </w:r>
      <w:r w:rsidR="006D1187">
        <w:t>panel who</w:t>
      </w:r>
      <w:r>
        <w:t xml:space="preserve"> will </w:t>
      </w:r>
      <w:r w:rsidR="00C41C90">
        <w:t xml:space="preserve">evaluate </w:t>
      </w:r>
      <w:r>
        <w:t xml:space="preserve">each application </w:t>
      </w:r>
      <w:r w:rsidR="00C41C90">
        <w:t xml:space="preserve">based on the </w:t>
      </w:r>
      <w:r>
        <w:t xml:space="preserve">following </w:t>
      </w:r>
      <w:r w:rsidR="00C41C90">
        <w:t xml:space="preserve">assessment </w:t>
      </w:r>
      <w:r>
        <w:t>criteria:</w:t>
      </w:r>
    </w:p>
    <w:p w14:paraId="39535891" w14:textId="77777777" w:rsidR="00CC18ED" w:rsidRDefault="00CC18ED" w:rsidP="00F4341F">
      <w:pPr>
        <w:pStyle w:val="Bodycopy"/>
        <w:spacing w:after="1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4493"/>
        <w:gridCol w:w="4093"/>
      </w:tblGrid>
      <w:tr w:rsidR="00D12BF7" w14:paraId="39535895" w14:textId="77777777" w:rsidTr="00B62E35">
        <w:trPr>
          <w:trHeight w:val="70"/>
        </w:trPr>
        <w:tc>
          <w:tcPr>
            <w:tcW w:w="1876" w:type="dxa"/>
            <w:tcBorders>
              <w:bottom w:val="single" w:sz="4" w:space="0" w:color="C0C0C0"/>
            </w:tcBorders>
            <w:shd w:val="clear" w:color="auto" w:fill="5D6771"/>
            <w:vAlign w:val="center"/>
          </w:tcPr>
          <w:p w14:paraId="39535892" w14:textId="77777777" w:rsidR="00B62E35" w:rsidRPr="00E95524" w:rsidRDefault="007D2140" w:rsidP="00554552">
            <w:pPr>
              <w:spacing w:before="40" w:after="40" w:line="276" w:lineRule="auto"/>
              <w:rPr>
                <w:b/>
                <w:bCs/>
                <w:snapToGrid w:val="0"/>
                <w:color w:val="FFFFFF"/>
                <w:sz w:val="20"/>
                <w:szCs w:val="20"/>
                <w:lang w:val="fr-FR" w:eastAsia="x-none"/>
              </w:rPr>
            </w:pPr>
            <w:r>
              <w:rPr>
                <w:b/>
                <w:snapToGrid w:val="0"/>
                <w:color w:val="FFFFFF"/>
                <w:sz w:val="20"/>
                <w:szCs w:val="20"/>
                <w:lang w:val="fr-FR"/>
              </w:rPr>
              <w:t>Assessment</w:t>
            </w:r>
            <w:r w:rsidRPr="00E95524">
              <w:rPr>
                <w:b/>
                <w:snapToGrid w:val="0"/>
                <w:color w:val="FFFFFF"/>
                <w:sz w:val="20"/>
                <w:szCs w:val="20"/>
                <w:lang w:val="fr-FR"/>
              </w:rPr>
              <w:t xml:space="preserve"> criteria</w:t>
            </w:r>
          </w:p>
        </w:tc>
        <w:tc>
          <w:tcPr>
            <w:tcW w:w="4493" w:type="dxa"/>
            <w:shd w:val="clear" w:color="auto" w:fill="5D6771"/>
            <w:vAlign w:val="center"/>
          </w:tcPr>
          <w:p w14:paraId="39535893" w14:textId="77777777" w:rsidR="00B62E35" w:rsidRPr="00E95524" w:rsidRDefault="007D2140" w:rsidP="00554552">
            <w:pPr>
              <w:spacing w:before="40" w:after="40" w:line="276" w:lineRule="auto"/>
              <w:rPr>
                <w:b/>
                <w:bCs/>
                <w:snapToGrid w:val="0"/>
                <w:color w:val="FFFFFF"/>
                <w:sz w:val="20"/>
                <w:szCs w:val="20"/>
                <w:lang w:val="fr-FR" w:eastAsia="x-none"/>
              </w:rPr>
            </w:pPr>
            <w:r w:rsidRPr="00E95524">
              <w:rPr>
                <w:b/>
                <w:snapToGrid w:val="0"/>
                <w:color w:val="FFFFFF"/>
                <w:sz w:val="20"/>
                <w:szCs w:val="20"/>
                <w:lang w:val="fr-FR"/>
              </w:rPr>
              <w:t>Guidelines</w:t>
            </w:r>
          </w:p>
        </w:tc>
        <w:tc>
          <w:tcPr>
            <w:tcW w:w="4093" w:type="dxa"/>
            <w:shd w:val="clear" w:color="auto" w:fill="5D6771"/>
            <w:vAlign w:val="center"/>
          </w:tcPr>
          <w:p w14:paraId="39535894" w14:textId="77777777" w:rsidR="00B62E35" w:rsidRPr="00E95524" w:rsidRDefault="007D2140" w:rsidP="00B62E35">
            <w:pPr>
              <w:spacing w:before="40" w:after="40" w:line="276" w:lineRule="auto"/>
              <w:rPr>
                <w:b/>
                <w:snapToGrid w:val="0"/>
                <w:color w:val="FFFFFF"/>
                <w:sz w:val="20"/>
                <w:szCs w:val="20"/>
                <w:lang w:val="fr-FR"/>
              </w:rPr>
            </w:pPr>
            <w:r w:rsidRPr="00B62E35">
              <w:rPr>
                <w:b/>
                <w:bCs/>
                <w:snapToGrid w:val="0"/>
                <w:color w:val="FFFFFF"/>
                <w:sz w:val="20"/>
                <w:szCs w:val="20"/>
                <w:lang w:val="fr-FR" w:eastAsia="x-none"/>
              </w:rPr>
              <w:t>Documentation</w:t>
            </w:r>
          </w:p>
        </w:tc>
      </w:tr>
      <w:tr w:rsidR="00D12BF7" w14:paraId="3953589B" w14:textId="77777777" w:rsidTr="00B62E35">
        <w:tc>
          <w:tcPr>
            <w:tcW w:w="1876" w:type="dxa"/>
            <w:shd w:val="clear" w:color="auto" w:fill="D9D9D9"/>
          </w:tcPr>
          <w:p w14:paraId="39535896" w14:textId="77777777" w:rsidR="00B62E35" w:rsidRPr="00D8448F" w:rsidRDefault="007D2140" w:rsidP="00554552">
            <w:pPr>
              <w:spacing w:before="40" w:after="40" w:line="276" w:lineRule="auto"/>
              <w:rPr>
                <w:b/>
                <w:snapToGrid w:val="0"/>
                <w:sz w:val="20"/>
                <w:szCs w:val="20"/>
                <w:highlight w:val="yellow"/>
                <w:lang w:val="fr-FR"/>
              </w:rPr>
            </w:pPr>
            <w:r>
              <w:rPr>
                <w:b/>
                <w:color w:val="000000" w:themeColor="text1"/>
                <w:sz w:val="20"/>
                <w:szCs w:val="20"/>
                <w:lang w:val="en-US"/>
              </w:rPr>
              <w:t>Mandatory Requirements</w:t>
            </w:r>
          </w:p>
        </w:tc>
        <w:tc>
          <w:tcPr>
            <w:tcW w:w="4493" w:type="dxa"/>
            <w:shd w:val="clear" w:color="auto" w:fill="FFFFFF" w:themeFill="background1"/>
          </w:tcPr>
          <w:p w14:paraId="39535897" w14:textId="77777777" w:rsidR="00B62E35" w:rsidRDefault="007D2140">
            <w:pPr>
              <w:pStyle w:val="ListParagraph"/>
              <w:numPr>
                <w:ilvl w:val="0"/>
                <w:numId w:val="24"/>
              </w:numPr>
              <w:spacing w:before="40" w:after="40" w:line="264" w:lineRule="auto"/>
              <w:rPr>
                <w:color w:val="414042"/>
                <w:sz w:val="20"/>
                <w:szCs w:val="20"/>
                <w:lang w:eastAsia="en-US"/>
              </w:rPr>
            </w:pPr>
            <w:r w:rsidRPr="00102F07">
              <w:rPr>
                <w:color w:val="414042"/>
                <w:sz w:val="20"/>
                <w:szCs w:val="20"/>
                <w:lang w:eastAsia="en-US"/>
              </w:rPr>
              <w:t>Insurance Requirements</w:t>
            </w:r>
            <w:r w:rsidR="00731E45">
              <w:rPr>
                <w:color w:val="414042"/>
                <w:sz w:val="20"/>
                <w:szCs w:val="20"/>
                <w:lang w:eastAsia="en-US"/>
              </w:rPr>
              <w:t>.</w:t>
            </w:r>
            <w:r w:rsidRPr="00102F07">
              <w:rPr>
                <w:color w:val="414042"/>
                <w:sz w:val="20"/>
                <w:szCs w:val="20"/>
                <w:lang w:eastAsia="en-US"/>
              </w:rPr>
              <w:t xml:space="preserve"> </w:t>
            </w:r>
          </w:p>
          <w:p w14:paraId="39535898" w14:textId="77777777" w:rsidR="00602990" w:rsidRPr="00DF0303" w:rsidRDefault="007D2140">
            <w:pPr>
              <w:pStyle w:val="ListParagraph"/>
              <w:numPr>
                <w:ilvl w:val="0"/>
                <w:numId w:val="24"/>
              </w:numPr>
              <w:spacing w:before="40" w:after="40" w:line="264" w:lineRule="auto"/>
              <w:rPr>
                <w:color w:val="414042"/>
                <w:sz w:val="20"/>
                <w:szCs w:val="20"/>
                <w:lang w:eastAsia="en-US"/>
              </w:rPr>
            </w:pPr>
            <w:r>
              <w:rPr>
                <w:color w:val="414042"/>
                <w:sz w:val="20"/>
                <w:szCs w:val="20"/>
                <w:lang w:eastAsia="en-US"/>
              </w:rPr>
              <w:t xml:space="preserve">Based in Queensland </w:t>
            </w:r>
          </w:p>
        </w:tc>
        <w:tc>
          <w:tcPr>
            <w:tcW w:w="4093" w:type="dxa"/>
            <w:shd w:val="clear" w:color="auto" w:fill="FFFFFF" w:themeFill="background1"/>
          </w:tcPr>
          <w:p w14:paraId="39535899" w14:textId="77777777" w:rsidR="00B71176" w:rsidRDefault="007D2140" w:rsidP="00E060FF">
            <w:pPr>
              <w:pStyle w:val="ListParagraph"/>
              <w:numPr>
                <w:ilvl w:val="0"/>
                <w:numId w:val="0"/>
              </w:numPr>
              <w:spacing w:before="40" w:after="40" w:line="264" w:lineRule="auto"/>
              <w:ind w:left="360"/>
              <w:rPr>
                <w:color w:val="414042"/>
                <w:sz w:val="20"/>
                <w:szCs w:val="20"/>
                <w:lang w:eastAsia="en-US"/>
              </w:rPr>
            </w:pPr>
            <w:r>
              <w:rPr>
                <w:color w:val="414042"/>
                <w:sz w:val="20"/>
                <w:szCs w:val="20"/>
                <w:lang w:eastAsia="en-US"/>
              </w:rPr>
              <w:t>.</w:t>
            </w:r>
          </w:p>
          <w:p w14:paraId="3953589A" w14:textId="77777777" w:rsidR="00B62E35" w:rsidRPr="00102F07" w:rsidRDefault="00B62E35" w:rsidP="00D233DC">
            <w:pPr>
              <w:pStyle w:val="ListParagraph"/>
              <w:numPr>
                <w:ilvl w:val="0"/>
                <w:numId w:val="0"/>
              </w:numPr>
              <w:spacing w:before="40" w:after="40" w:line="264" w:lineRule="auto"/>
              <w:ind w:left="360"/>
              <w:rPr>
                <w:color w:val="414042"/>
                <w:sz w:val="20"/>
                <w:szCs w:val="20"/>
                <w:lang w:eastAsia="en-US"/>
              </w:rPr>
            </w:pPr>
          </w:p>
        </w:tc>
      </w:tr>
      <w:tr w:rsidR="00D12BF7" w14:paraId="3953589F" w14:textId="77777777" w:rsidTr="00B62E35">
        <w:tc>
          <w:tcPr>
            <w:tcW w:w="1876" w:type="dxa"/>
            <w:shd w:val="clear" w:color="auto" w:fill="D9D9D9"/>
          </w:tcPr>
          <w:p w14:paraId="3953589C" w14:textId="77777777" w:rsidR="00B62E35" w:rsidRPr="00C751A5" w:rsidRDefault="007D2140" w:rsidP="00554552">
            <w:pPr>
              <w:spacing w:before="40" w:after="40" w:line="276" w:lineRule="auto"/>
              <w:rPr>
                <w:b/>
                <w:color w:val="000000" w:themeColor="text1"/>
                <w:sz w:val="20"/>
                <w:szCs w:val="20"/>
                <w:lang w:val="en-US"/>
              </w:rPr>
            </w:pPr>
            <w:r w:rsidRPr="00C751A5">
              <w:rPr>
                <w:b/>
                <w:color w:val="000000" w:themeColor="text1"/>
                <w:sz w:val="20"/>
                <w:szCs w:val="20"/>
                <w:lang w:val="en-US"/>
              </w:rPr>
              <w:t>Proposed methodology and service delivery</w:t>
            </w:r>
          </w:p>
        </w:tc>
        <w:tc>
          <w:tcPr>
            <w:tcW w:w="4493" w:type="dxa"/>
          </w:tcPr>
          <w:p w14:paraId="3953589D" w14:textId="77777777" w:rsidR="00B62E35" w:rsidRPr="002D462D" w:rsidRDefault="007D2140" w:rsidP="002D462D">
            <w:pPr>
              <w:spacing w:before="40" w:after="40" w:line="264" w:lineRule="auto"/>
              <w:rPr>
                <w:color w:val="414042"/>
                <w:sz w:val="20"/>
                <w:szCs w:val="20"/>
                <w:lang w:eastAsia="en-US"/>
              </w:rPr>
            </w:pPr>
            <w:r w:rsidRPr="002D462D">
              <w:rPr>
                <w:color w:val="414042"/>
                <w:sz w:val="20"/>
                <w:szCs w:val="20"/>
                <w:lang w:eastAsia="en-US"/>
              </w:rPr>
              <w:t>The Respondent is to provide documented evidence that demonstrates its</w:t>
            </w:r>
            <w:r w:rsidR="00602990" w:rsidRPr="002D462D">
              <w:rPr>
                <w:color w:val="414042"/>
                <w:sz w:val="20"/>
                <w:szCs w:val="20"/>
                <w:lang w:eastAsia="en-US"/>
              </w:rPr>
              <w:t xml:space="preserve"> capacity and</w:t>
            </w:r>
            <w:r w:rsidRPr="002D462D">
              <w:rPr>
                <w:color w:val="414042"/>
                <w:sz w:val="20"/>
                <w:szCs w:val="20"/>
                <w:lang w:eastAsia="en-US"/>
              </w:rPr>
              <w:t xml:space="preserve"> capability to manage the project and achieve the project deliverables and timelines, including how they propose to engage </w:t>
            </w:r>
            <w:r w:rsidR="00602990" w:rsidRPr="002D462D">
              <w:rPr>
                <w:color w:val="414042"/>
                <w:sz w:val="20"/>
                <w:szCs w:val="20"/>
                <w:lang w:eastAsia="en-US"/>
              </w:rPr>
              <w:t xml:space="preserve">with </w:t>
            </w:r>
            <w:r w:rsidRPr="002D462D">
              <w:rPr>
                <w:color w:val="414042"/>
                <w:sz w:val="20"/>
                <w:szCs w:val="20"/>
                <w:lang w:eastAsia="en-US"/>
              </w:rPr>
              <w:t>regional stakeholders, through a detailed proposed methodology.</w:t>
            </w:r>
          </w:p>
        </w:tc>
        <w:tc>
          <w:tcPr>
            <w:tcW w:w="4093" w:type="dxa"/>
          </w:tcPr>
          <w:p w14:paraId="3953589E" w14:textId="77777777" w:rsidR="00B62E35" w:rsidRPr="00D233DC" w:rsidRDefault="007D2140">
            <w:pPr>
              <w:pStyle w:val="ListParagraph"/>
              <w:numPr>
                <w:ilvl w:val="0"/>
                <w:numId w:val="24"/>
              </w:numPr>
              <w:spacing w:before="40" w:after="40" w:line="264" w:lineRule="auto"/>
              <w:rPr>
                <w:color w:val="414042"/>
                <w:sz w:val="20"/>
                <w:szCs w:val="20"/>
                <w:lang w:eastAsia="en-US"/>
              </w:rPr>
            </w:pPr>
            <w:r w:rsidRPr="00E862AD">
              <w:rPr>
                <w:color w:val="414042"/>
                <w:sz w:val="20"/>
                <w:szCs w:val="20"/>
                <w:lang w:eastAsia="en-US"/>
              </w:rPr>
              <w:t>Staff resumes or background information and/or relevant position descriptions of key personnel.</w:t>
            </w:r>
            <w:r w:rsidRPr="00D233DC">
              <w:rPr>
                <w:color w:val="414042"/>
                <w:sz w:val="20"/>
                <w:szCs w:val="20"/>
                <w:lang w:eastAsia="en-US"/>
              </w:rPr>
              <w:t xml:space="preserve"> </w:t>
            </w:r>
          </w:p>
        </w:tc>
      </w:tr>
      <w:tr w:rsidR="00D12BF7" w14:paraId="395358A3" w14:textId="77777777" w:rsidTr="00BD4B82">
        <w:trPr>
          <w:trHeight w:val="1992"/>
        </w:trPr>
        <w:tc>
          <w:tcPr>
            <w:tcW w:w="1876" w:type="dxa"/>
            <w:shd w:val="clear" w:color="auto" w:fill="D9D9D9"/>
          </w:tcPr>
          <w:p w14:paraId="395358A0" w14:textId="77777777" w:rsidR="00B62E35" w:rsidRPr="00D8448F" w:rsidRDefault="007D2140" w:rsidP="00554552">
            <w:pPr>
              <w:spacing w:before="40" w:after="40" w:line="276" w:lineRule="auto"/>
              <w:rPr>
                <w:b/>
                <w:snapToGrid w:val="0"/>
                <w:sz w:val="20"/>
                <w:szCs w:val="20"/>
                <w:highlight w:val="yellow"/>
                <w:lang w:val="fr-FR"/>
              </w:rPr>
            </w:pPr>
            <w:r w:rsidRPr="2847BAF4">
              <w:rPr>
                <w:rFonts w:eastAsia="Arial"/>
                <w:b/>
                <w:bCs/>
                <w:color w:val="000000" w:themeColor="text1"/>
                <w:sz w:val="20"/>
                <w:szCs w:val="20"/>
              </w:rPr>
              <w:t>Skills, Knowledge and Experience – Vocational Education and Training (VET) Sector</w:t>
            </w:r>
          </w:p>
        </w:tc>
        <w:tc>
          <w:tcPr>
            <w:tcW w:w="4493" w:type="dxa"/>
          </w:tcPr>
          <w:p w14:paraId="395358A1" w14:textId="77777777" w:rsidR="00B62E35" w:rsidRPr="002D462D" w:rsidRDefault="007D2140" w:rsidP="002D462D">
            <w:pPr>
              <w:spacing w:before="40" w:after="40" w:line="264" w:lineRule="auto"/>
              <w:rPr>
                <w:color w:val="414042"/>
                <w:sz w:val="20"/>
                <w:szCs w:val="20"/>
                <w:lang w:eastAsia="en-US"/>
              </w:rPr>
            </w:pPr>
            <w:r w:rsidRPr="002D462D">
              <w:rPr>
                <w:color w:val="414042"/>
                <w:sz w:val="20"/>
                <w:szCs w:val="20"/>
                <w:lang w:eastAsia="en-US"/>
              </w:rPr>
              <w:t>The Respondent is to provide documented evidence that demonstrates its understanding of issues relevant to VET sector, including but not limited to training and skills pathways, qualifications, and VET investment including apprenticeship and traineeship incentives.</w:t>
            </w:r>
          </w:p>
        </w:tc>
        <w:tc>
          <w:tcPr>
            <w:tcW w:w="4093" w:type="dxa"/>
          </w:tcPr>
          <w:p w14:paraId="395358A2" w14:textId="77777777" w:rsidR="00BD4B82" w:rsidRPr="00D233DC" w:rsidRDefault="00BD4B82" w:rsidP="002D462D">
            <w:pPr>
              <w:pStyle w:val="ListParagraph"/>
              <w:numPr>
                <w:ilvl w:val="0"/>
                <w:numId w:val="0"/>
              </w:numPr>
              <w:spacing w:before="40" w:after="40" w:line="264" w:lineRule="auto"/>
              <w:ind w:left="360"/>
              <w:rPr>
                <w:color w:val="414042"/>
                <w:sz w:val="20"/>
                <w:szCs w:val="20"/>
                <w:lang w:eastAsia="en-US"/>
              </w:rPr>
            </w:pPr>
          </w:p>
        </w:tc>
      </w:tr>
      <w:tr w:rsidR="00D12BF7" w14:paraId="395358A7" w14:textId="77777777" w:rsidTr="00B62E35">
        <w:tc>
          <w:tcPr>
            <w:tcW w:w="1876" w:type="dxa"/>
            <w:shd w:val="clear" w:color="auto" w:fill="D9D9D9"/>
          </w:tcPr>
          <w:p w14:paraId="395358A4" w14:textId="77777777" w:rsidR="00B62E35" w:rsidRPr="00D8448F" w:rsidRDefault="007D2140" w:rsidP="00554552">
            <w:pPr>
              <w:spacing w:before="40" w:after="40" w:line="276" w:lineRule="auto"/>
              <w:rPr>
                <w:b/>
                <w:snapToGrid w:val="0"/>
                <w:sz w:val="20"/>
                <w:szCs w:val="20"/>
                <w:highlight w:val="yellow"/>
                <w:lang w:val="fr-FR"/>
              </w:rPr>
            </w:pPr>
            <w:r w:rsidRPr="2847BAF4">
              <w:rPr>
                <w:rFonts w:eastAsia="Arial"/>
                <w:b/>
                <w:bCs/>
                <w:color w:val="000000" w:themeColor="text1"/>
                <w:sz w:val="20"/>
                <w:szCs w:val="20"/>
              </w:rPr>
              <w:t xml:space="preserve">Skills, Knowledge and Experience </w:t>
            </w:r>
            <w:r>
              <w:rPr>
                <w:rFonts w:eastAsia="Arial"/>
                <w:b/>
                <w:bCs/>
                <w:color w:val="000000" w:themeColor="text1"/>
                <w:sz w:val="20"/>
                <w:szCs w:val="20"/>
              </w:rPr>
              <w:t>–</w:t>
            </w:r>
            <w:r w:rsidRPr="2847BAF4">
              <w:rPr>
                <w:rFonts w:eastAsia="Arial"/>
                <w:b/>
                <w:bCs/>
                <w:color w:val="000000" w:themeColor="text1"/>
                <w:sz w:val="20"/>
                <w:szCs w:val="20"/>
              </w:rPr>
              <w:t>Industry</w:t>
            </w:r>
            <w:r w:rsidR="00224CCF">
              <w:rPr>
                <w:rFonts w:eastAsia="Arial"/>
                <w:b/>
                <w:bCs/>
                <w:color w:val="000000" w:themeColor="text1"/>
                <w:sz w:val="20"/>
                <w:szCs w:val="20"/>
              </w:rPr>
              <w:t xml:space="preserve"> sector</w:t>
            </w:r>
          </w:p>
        </w:tc>
        <w:tc>
          <w:tcPr>
            <w:tcW w:w="4493" w:type="dxa"/>
          </w:tcPr>
          <w:p w14:paraId="395358A5" w14:textId="77777777" w:rsidR="00B62E35" w:rsidRPr="002D462D" w:rsidRDefault="007D2140" w:rsidP="002D462D">
            <w:pPr>
              <w:spacing w:before="40" w:after="40" w:line="264" w:lineRule="auto"/>
              <w:rPr>
                <w:color w:val="414042"/>
                <w:sz w:val="20"/>
                <w:szCs w:val="20"/>
                <w:lang w:eastAsia="en-US"/>
              </w:rPr>
            </w:pPr>
            <w:r w:rsidRPr="002D462D">
              <w:rPr>
                <w:color w:val="414042"/>
                <w:sz w:val="20"/>
                <w:szCs w:val="20"/>
                <w:lang w:eastAsia="en-US"/>
              </w:rPr>
              <w:t xml:space="preserve">The Respondent’s ability to demonstrate throughout their submission, their skills, knowledge and experience in managing and delivering similar projects of varying size, risk and complexity, including a capacity to service </w:t>
            </w:r>
            <w:r w:rsidR="002234AD">
              <w:rPr>
                <w:color w:val="414042"/>
                <w:sz w:val="20"/>
                <w:szCs w:val="20"/>
                <w:lang w:eastAsia="en-US"/>
              </w:rPr>
              <w:t>a spe</w:t>
            </w:r>
            <w:r w:rsidR="00980672">
              <w:rPr>
                <w:color w:val="414042"/>
                <w:sz w:val="20"/>
                <w:szCs w:val="20"/>
                <w:lang w:eastAsia="en-US"/>
              </w:rPr>
              <w:t>cific</w:t>
            </w:r>
            <w:r w:rsidRPr="002D462D">
              <w:rPr>
                <w:color w:val="414042"/>
                <w:sz w:val="20"/>
                <w:szCs w:val="20"/>
                <w:lang w:eastAsia="en-US"/>
              </w:rPr>
              <w:t xml:space="preserve"> industry sector and regional areas.</w:t>
            </w:r>
          </w:p>
        </w:tc>
        <w:tc>
          <w:tcPr>
            <w:tcW w:w="4093" w:type="dxa"/>
          </w:tcPr>
          <w:p w14:paraId="395358A6" w14:textId="7C5A2CFC" w:rsidR="00B62E35" w:rsidRPr="002D462D" w:rsidRDefault="00C97920">
            <w:pPr>
              <w:pStyle w:val="ListParagraph"/>
              <w:numPr>
                <w:ilvl w:val="0"/>
                <w:numId w:val="24"/>
              </w:numPr>
              <w:spacing w:before="40" w:after="40" w:line="264" w:lineRule="auto"/>
              <w:rPr>
                <w:color w:val="414042"/>
                <w:sz w:val="20"/>
                <w:szCs w:val="20"/>
                <w:lang w:eastAsia="en-US"/>
              </w:rPr>
            </w:pPr>
            <w:r>
              <w:rPr>
                <w:color w:val="414042"/>
                <w:sz w:val="20"/>
                <w:szCs w:val="20"/>
                <w:lang w:eastAsia="en-US"/>
              </w:rPr>
              <w:t xml:space="preserve">Evidence of delivering and managing similar projects. </w:t>
            </w:r>
            <w:r w:rsidR="007D2140" w:rsidRPr="00D233DC">
              <w:rPr>
                <w:color w:val="414042"/>
                <w:sz w:val="20"/>
                <w:szCs w:val="20"/>
                <w:lang w:eastAsia="en-US"/>
              </w:rPr>
              <w:t xml:space="preserve">  </w:t>
            </w:r>
          </w:p>
        </w:tc>
      </w:tr>
      <w:tr w:rsidR="00C97920" w14:paraId="1CDB7C89" w14:textId="77777777" w:rsidTr="00B62E35">
        <w:tc>
          <w:tcPr>
            <w:tcW w:w="1876" w:type="dxa"/>
            <w:shd w:val="clear" w:color="auto" w:fill="D9D9D9"/>
          </w:tcPr>
          <w:p w14:paraId="0B9793C1" w14:textId="7C97D688" w:rsidR="00C97920" w:rsidRPr="2847BAF4" w:rsidRDefault="00C97920" w:rsidP="00554552">
            <w:pPr>
              <w:spacing w:before="40" w:after="40" w:line="276" w:lineRule="auto"/>
              <w:rPr>
                <w:rFonts w:eastAsia="Arial"/>
                <w:b/>
                <w:bCs/>
                <w:color w:val="000000" w:themeColor="text1"/>
                <w:sz w:val="20"/>
                <w:szCs w:val="20"/>
              </w:rPr>
            </w:pPr>
            <w:r>
              <w:rPr>
                <w:rFonts w:eastAsia="Arial"/>
                <w:b/>
                <w:bCs/>
                <w:color w:val="000000" w:themeColor="text1"/>
                <w:sz w:val="20"/>
                <w:szCs w:val="20"/>
              </w:rPr>
              <w:t>Strong industry knowledge and connection</w:t>
            </w:r>
          </w:p>
        </w:tc>
        <w:tc>
          <w:tcPr>
            <w:tcW w:w="4493" w:type="dxa"/>
          </w:tcPr>
          <w:p w14:paraId="510C143A" w14:textId="2FA70054" w:rsidR="00C97920" w:rsidRPr="002D462D" w:rsidRDefault="00C97920" w:rsidP="002D462D">
            <w:pPr>
              <w:spacing w:before="40" w:after="40" w:line="264" w:lineRule="auto"/>
              <w:rPr>
                <w:color w:val="414042"/>
                <w:sz w:val="20"/>
                <w:szCs w:val="20"/>
                <w:lang w:eastAsia="en-US"/>
              </w:rPr>
            </w:pPr>
            <w:r>
              <w:rPr>
                <w:color w:val="414042"/>
                <w:sz w:val="20"/>
                <w:szCs w:val="20"/>
                <w:lang w:eastAsia="en-US"/>
              </w:rPr>
              <w:t>The respondent’s ability to demonstrate their strong industry knowledge and connection.</w:t>
            </w:r>
          </w:p>
        </w:tc>
        <w:tc>
          <w:tcPr>
            <w:tcW w:w="4093" w:type="dxa"/>
          </w:tcPr>
          <w:p w14:paraId="5770C8FD" w14:textId="11534B71" w:rsidR="00C97920" w:rsidRPr="00D233DC" w:rsidRDefault="00C97920">
            <w:pPr>
              <w:pStyle w:val="ListParagraph"/>
              <w:numPr>
                <w:ilvl w:val="0"/>
                <w:numId w:val="24"/>
              </w:numPr>
              <w:spacing w:before="40" w:after="40" w:line="264" w:lineRule="auto"/>
              <w:rPr>
                <w:color w:val="414042"/>
                <w:sz w:val="20"/>
                <w:szCs w:val="20"/>
                <w:lang w:eastAsia="en-US"/>
              </w:rPr>
            </w:pPr>
            <w:r w:rsidRPr="00D233DC">
              <w:rPr>
                <w:color w:val="414042"/>
                <w:sz w:val="20"/>
                <w:szCs w:val="20"/>
                <w:lang w:eastAsia="en-US"/>
              </w:rPr>
              <w:t xml:space="preserve">Letters of support from industry partners and employers affirming their commitment to participate in the project.  </w:t>
            </w:r>
          </w:p>
        </w:tc>
      </w:tr>
      <w:tr w:rsidR="00D12BF7" w14:paraId="395358AD" w14:textId="77777777" w:rsidTr="00B62E35">
        <w:tc>
          <w:tcPr>
            <w:tcW w:w="1876" w:type="dxa"/>
            <w:shd w:val="clear" w:color="auto" w:fill="D9D9D9"/>
          </w:tcPr>
          <w:p w14:paraId="395358A8" w14:textId="77777777" w:rsidR="00B62E35" w:rsidRPr="00C751A5" w:rsidRDefault="007D2140" w:rsidP="00554552">
            <w:pPr>
              <w:spacing w:before="60" w:after="60" w:line="264" w:lineRule="auto"/>
              <w:contextualSpacing/>
              <w:rPr>
                <w:rFonts w:eastAsia="Arial"/>
                <w:color w:val="000000" w:themeColor="text1"/>
                <w:sz w:val="20"/>
                <w:szCs w:val="20"/>
              </w:rPr>
            </w:pPr>
            <w:r w:rsidRPr="2847BAF4">
              <w:rPr>
                <w:rFonts w:eastAsia="Arial"/>
                <w:b/>
                <w:bCs/>
                <w:color w:val="000000" w:themeColor="text1"/>
                <w:sz w:val="20"/>
                <w:szCs w:val="20"/>
              </w:rPr>
              <w:t xml:space="preserve">Skills, </w:t>
            </w:r>
            <w:proofErr w:type="gramStart"/>
            <w:r w:rsidRPr="2847BAF4">
              <w:rPr>
                <w:rFonts w:eastAsia="Arial"/>
                <w:b/>
                <w:bCs/>
                <w:color w:val="000000" w:themeColor="text1"/>
                <w:sz w:val="20"/>
                <w:szCs w:val="20"/>
              </w:rPr>
              <w:t>Knowledge</w:t>
            </w:r>
            <w:proofErr w:type="gramEnd"/>
            <w:r w:rsidRPr="2847BAF4">
              <w:rPr>
                <w:rFonts w:eastAsia="Arial"/>
                <w:b/>
                <w:bCs/>
                <w:color w:val="000000" w:themeColor="text1"/>
                <w:sz w:val="20"/>
                <w:szCs w:val="20"/>
              </w:rPr>
              <w:t xml:space="preserve"> and Experience – Education sector</w:t>
            </w:r>
          </w:p>
          <w:p w14:paraId="395358A9" w14:textId="77777777" w:rsidR="00B62E35" w:rsidRDefault="00B62E35" w:rsidP="00554552">
            <w:pPr>
              <w:spacing w:before="40" w:after="40" w:line="276" w:lineRule="auto"/>
              <w:rPr>
                <w:b/>
                <w:snapToGrid w:val="0"/>
                <w:sz w:val="20"/>
                <w:szCs w:val="20"/>
                <w:lang w:val="fr-FR"/>
              </w:rPr>
            </w:pPr>
          </w:p>
        </w:tc>
        <w:tc>
          <w:tcPr>
            <w:tcW w:w="4493" w:type="dxa"/>
          </w:tcPr>
          <w:p w14:paraId="395358AA" w14:textId="77777777" w:rsidR="00B62E35" w:rsidRPr="002D462D" w:rsidRDefault="007D2140" w:rsidP="002D462D">
            <w:pPr>
              <w:spacing w:before="40" w:after="40" w:line="264" w:lineRule="auto"/>
              <w:rPr>
                <w:color w:val="414042"/>
                <w:sz w:val="20"/>
                <w:szCs w:val="20"/>
                <w:lang w:eastAsia="en-US"/>
              </w:rPr>
            </w:pPr>
            <w:r w:rsidRPr="002D462D">
              <w:rPr>
                <w:color w:val="414042"/>
                <w:sz w:val="20"/>
                <w:szCs w:val="20"/>
                <w:lang w:eastAsia="en-US"/>
              </w:rPr>
              <w:t>The Respondent’s ability to demonstrate throughout their submission, their skills, knowledge and experience in managing and developing relationships with the education sector to maximise outcomes for school staff, students and their influencers.</w:t>
            </w:r>
          </w:p>
        </w:tc>
        <w:tc>
          <w:tcPr>
            <w:tcW w:w="4093" w:type="dxa"/>
          </w:tcPr>
          <w:p w14:paraId="395358AB" w14:textId="77777777" w:rsidR="00BD4B82" w:rsidRPr="00D233DC" w:rsidRDefault="007D2140">
            <w:pPr>
              <w:pStyle w:val="ListParagraph"/>
              <w:numPr>
                <w:ilvl w:val="0"/>
                <w:numId w:val="24"/>
              </w:numPr>
              <w:spacing w:before="40" w:after="40" w:line="264" w:lineRule="auto"/>
              <w:rPr>
                <w:color w:val="414042"/>
                <w:sz w:val="20"/>
                <w:szCs w:val="20"/>
                <w:lang w:eastAsia="en-US"/>
              </w:rPr>
            </w:pPr>
            <w:r w:rsidRPr="00D233DC">
              <w:rPr>
                <w:color w:val="414042"/>
                <w:sz w:val="20"/>
                <w:szCs w:val="20"/>
                <w:lang w:eastAsia="en-US"/>
              </w:rPr>
              <w:t xml:space="preserve">Letters of support from schools affirming their commitment to participate in the project.  </w:t>
            </w:r>
          </w:p>
          <w:p w14:paraId="395358AC" w14:textId="77777777" w:rsidR="00B62E35" w:rsidRPr="00A44E17" w:rsidRDefault="00B62E35" w:rsidP="00A44E17">
            <w:pPr>
              <w:spacing w:before="40" w:after="40" w:line="264" w:lineRule="auto"/>
              <w:rPr>
                <w:color w:val="414042"/>
                <w:sz w:val="20"/>
                <w:szCs w:val="20"/>
                <w:lang w:eastAsia="en-US"/>
              </w:rPr>
            </w:pPr>
          </w:p>
        </w:tc>
      </w:tr>
    </w:tbl>
    <w:p w14:paraId="395358AE" w14:textId="77777777" w:rsidR="00C810B8" w:rsidRDefault="00C810B8" w:rsidP="00C810B8">
      <w:pPr>
        <w:spacing w:after="120"/>
        <w:jc w:val="both"/>
      </w:pPr>
    </w:p>
    <w:p w14:paraId="395358AF" w14:textId="77777777" w:rsidR="00EB5C78" w:rsidRPr="0051014F" w:rsidRDefault="007D2140" w:rsidP="00F35C36">
      <w:pPr>
        <w:pStyle w:val="Heading2"/>
        <w:spacing w:before="240"/>
        <w:jc w:val="both"/>
        <w:rPr>
          <w:sz w:val="32"/>
          <w:szCs w:val="22"/>
        </w:rPr>
      </w:pPr>
      <w:r w:rsidRPr="008236B5">
        <w:rPr>
          <w:sz w:val="32"/>
          <w:szCs w:val="22"/>
        </w:rPr>
        <w:t>Appeals</w:t>
      </w:r>
      <w:r w:rsidR="0051014F">
        <w:rPr>
          <w:sz w:val="32"/>
          <w:szCs w:val="22"/>
        </w:rPr>
        <w:t xml:space="preserve"> </w:t>
      </w:r>
    </w:p>
    <w:p w14:paraId="395358B0" w14:textId="7F934D56" w:rsidR="00A647F7" w:rsidRDefault="00604FAE" w:rsidP="00F35C36">
      <w:pPr>
        <w:spacing w:before="120"/>
        <w:jc w:val="both"/>
      </w:pPr>
      <w:r>
        <w:t xml:space="preserve">Applicants </w:t>
      </w:r>
      <w:r w:rsidR="007D2140">
        <w:t xml:space="preserve">may request a review of </w:t>
      </w:r>
      <w:r w:rsidR="00C97920">
        <w:t>application process</w:t>
      </w:r>
      <w:r w:rsidR="007D2140">
        <w:t xml:space="preserve"> in relation to the provision of funding under the Gateway to Industry Schools Program. </w:t>
      </w:r>
    </w:p>
    <w:p w14:paraId="395358B1" w14:textId="77777777" w:rsidR="0064406C" w:rsidRDefault="007D2140" w:rsidP="00F35C36">
      <w:pPr>
        <w:spacing w:before="120"/>
        <w:jc w:val="both"/>
      </w:pPr>
      <w:r>
        <w:t xml:space="preserve">The appeals process has been established to help identify any problems in the application process, ensuring these processes continue to improve, and to assist with future applications. </w:t>
      </w:r>
    </w:p>
    <w:p w14:paraId="395358B2" w14:textId="77777777" w:rsidR="0064406C" w:rsidRDefault="007D2140" w:rsidP="00574BC3">
      <w:pPr>
        <w:spacing w:before="120" w:after="120"/>
        <w:jc w:val="both"/>
      </w:pPr>
      <w:r>
        <w:t xml:space="preserve">Appeals must </w:t>
      </w:r>
      <w:r w:rsidR="00574BC3">
        <w:t>be lodged in writing within 21 days of being notified of a funding decision to:</w:t>
      </w:r>
    </w:p>
    <w:p w14:paraId="395358B3" w14:textId="77777777" w:rsidR="00574BC3" w:rsidRDefault="007D2140" w:rsidP="00574BC3">
      <w:pPr>
        <w:jc w:val="both"/>
      </w:pPr>
      <w:r>
        <w:t>Appeals Officer</w:t>
      </w:r>
    </w:p>
    <w:p w14:paraId="395358B4" w14:textId="77777777" w:rsidR="00574BC3" w:rsidRDefault="007D2140" w:rsidP="00574BC3">
      <w:pPr>
        <w:jc w:val="both"/>
      </w:pPr>
      <w:r>
        <w:t>Industry Engagement</w:t>
      </w:r>
    </w:p>
    <w:p w14:paraId="395358B5" w14:textId="77777777" w:rsidR="00574BC3" w:rsidRDefault="007D2140" w:rsidP="00574BC3">
      <w:pPr>
        <w:jc w:val="both"/>
      </w:pPr>
      <w:r>
        <w:lastRenderedPageBreak/>
        <w:t>Department of Employment, Small Business and Training</w:t>
      </w:r>
    </w:p>
    <w:p w14:paraId="395358B6" w14:textId="77777777" w:rsidR="00574BC3" w:rsidRDefault="007D2140" w:rsidP="00574BC3">
      <w:pPr>
        <w:jc w:val="both"/>
      </w:pPr>
      <w:r>
        <w:t>PO Box 15483</w:t>
      </w:r>
    </w:p>
    <w:p w14:paraId="395358B7" w14:textId="77777777" w:rsidR="00574BC3" w:rsidRDefault="007D2140" w:rsidP="00574BC3">
      <w:pPr>
        <w:jc w:val="both"/>
      </w:pPr>
      <w:r>
        <w:t>City East Qld 4002</w:t>
      </w:r>
    </w:p>
    <w:p w14:paraId="4763A807" w14:textId="3165ECF6" w:rsidR="00C97920" w:rsidRDefault="00C97920" w:rsidP="00574BC3">
      <w:pPr>
        <w:jc w:val="both"/>
      </w:pPr>
    </w:p>
    <w:p w14:paraId="395358B8" w14:textId="77777777" w:rsidR="00574BC3" w:rsidRDefault="007D2140" w:rsidP="00F35C36">
      <w:pPr>
        <w:spacing w:before="120"/>
        <w:jc w:val="both"/>
      </w:pPr>
      <w:r>
        <w:t xml:space="preserve">Organisations will be notified in writing of the appeal outcome within 21 business days from receipt of the appeal. </w:t>
      </w:r>
    </w:p>
    <w:p w14:paraId="39C76E5A" w14:textId="3EE5493F" w:rsidR="007416B9" w:rsidRDefault="007416B9" w:rsidP="00C97920">
      <w:pPr>
        <w:pStyle w:val="Heading2"/>
        <w:spacing w:before="240"/>
        <w:jc w:val="both"/>
      </w:pPr>
      <w:r w:rsidRPr="00465149">
        <w:rPr>
          <w:sz w:val="32"/>
          <w:szCs w:val="22"/>
        </w:rPr>
        <w:t>Feedback</w:t>
      </w:r>
      <w:r>
        <w:t xml:space="preserve"> </w:t>
      </w:r>
    </w:p>
    <w:p w14:paraId="6F9ECCE3" w14:textId="63B13C48" w:rsidR="00C97920" w:rsidRDefault="00C97920" w:rsidP="00C97920">
      <w:pPr>
        <w:pStyle w:val="BodyText"/>
      </w:pPr>
      <w:r>
        <w:t xml:space="preserve">Applicants wishing to </w:t>
      </w:r>
      <w:r w:rsidR="00604FAE">
        <w:t>receive</w:t>
      </w:r>
      <w:r>
        <w:t xml:space="preserve"> feedback on their application can </w:t>
      </w:r>
      <w:r w:rsidR="00604FAE">
        <w:t>submit their request to</w:t>
      </w:r>
      <w:r>
        <w:t xml:space="preserve"> the department within 21 business days from receipt of the application outcome. </w:t>
      </w:r>
      <w:r w:rsidR="00604FAE">
        <w:t xml:space="preserve">Emails are to be addressed to </w:t>
      </w:r>
      <w:hyperlink r:id="rId21" w:history="1">
        <w:r w:rsidR="00604FAE" w:rsidRPr="006D6977">
          <w:rPr>
            <w:rStyle w:val="Hyperlink"/>
          </w:rPr>
          <w:t>GISP@desbt.qld.gov.au</w:t>
        </w:r>
      </w:hyperlink>
      <w:r w:rsidR="00604FAE">
        <w:t xml:space="preserve">. </w:t>
      </w:r>
    </w:p>
    <w:p w14:paraId="6922A5AE" w14:textId="77777777" w:rsidR="00604FAE" w:rsidRPr="00604FAE" w:rsidRDefault="00604FAE" w:rsidP="00604FAE">
      <w:pPr>
        <w:pBdr>
          <w:bottom w:val="single" w:sz="6" w:space="1" w:color="auto"/>
        </w:pBdr>
        <w:jc w:val="center"/>
        <w:rPr>
          <w:rFonts w:cs="Arial"/>
          <w:vanish/>
          <w:sz w:val="16"/>
          <w:szCs w:val="16"/>
        </w:rPr>
      </w:pPr>
      <w:r w:rsidRPr="00604FAE">
        <w:rPr>
          <w:rFonts w:cs="Arial"/>
          <w:vanish/>
          <w:sz w:val="16"/>
          <w:szCs w:val="16"/>
        </w:rPr>
        <w:t>Top of Form</w:t>
      </w:r>
    </w:p>
    <w:p w14:paraId="713AFC65" w14:textId="77777777" w:rsidR="00604FAE" w:rsidRPr="00604FAE" w:rsidRDefault="00604FAE" w:rsidP="00604FAE">
      <w:pPr>
        <w:pBdr>
          <w:top w:val="single" w:sz="6" w:space="1" w:color="auto"/>
        </w:pBdr>
        <w:jc w:val="center"/>
        <w:rPr>
          <w:rFonts w:cs="Arial"/>
          <w:vanish/>
          <w:sz w:val="16"/>
          <w:szCs w:val="16"/>
        </w:rPr>
      </w:pPr>
      <w:r w:rsidRPr="00604FAE">
        <w:rPr>
          <w:rFonts w:cs="Arial"/>
          <w:vanish/>
          <w:sz w:val="16"/>
          <w:szCs w:val="16"/>
        </w:rPr>
        <w:t>Bottom of Form</w:t>
      </w:r>
    </w:p>
    <w:p w14:paraId="4CBEFBB4" w14:textId="77777777" w:rsidR="00C97920" w:rsidRPr="00C97920" w:rsidRDefault="00C97920" w:rsidP="00465149">
      <w:pPr>
        <w:pStyle w:val="BodyText"/>
      </w:pPr>
    </w:p>
    <w:p w14:paraId="395358B9" w14:textId="77777777" w:rsidR="00143BC0" w:rsidRPr="0051014F" w:rsidRDefault="007D2140" w:rsidP="00F35C36">
      <w:pPr>
        <w:pStyle w:val="Heading2"/>
        <w:spacing w:before="240"/>
        <w:jc w:val="both"/>
        <w:rPr>
          <w:sz w:val="32"/>
          <w:szCs w:val="22"/>
        </w:rPr>
      </w:pPr>
      <w:r>
        <w:rPr>
          <w:sz w:val="32"/>
          <w:szCs w:val="22"/>
        </w:rPr>
        <w:t>More information</w:t>
      </w:r>
    </w:p>
    <w:p w14:paraId="395358BA" w14:textId="77777777" w:rsidR="00E523F7" w:rsidRDefault="007D2140" w:rsidP="00F020FC">
      <w:pPr>
        <w:pStyle w:val="BodyText"/>
        <w:jc w:val="both"/>
      </w:pPr>
      <w:r>
        <w:t>For any questions</w:t>
      </w:r>
      <w:r w:rsidR="008236B5">
        <w:t xml:space="preserve"> or more information </w:t>
      </w:r>
      <w:r w:rsidR="00B7736E">
        <w:t>on</w:t>
      </w:r>
      <w:r w:rsidR="008236B5">
        <w:t xml:space="preserve"> the </w:t>
      </w:r>
      <w:r w:rsidR="00B7736E">
        <w:t>GISP</w:t>
      </w:r>
      <w:r>
        <w:t>, please contact</w:t>
      </w:r>
      <w:r w:rsidR="008236B5">
        <w:t xml:space="preserve"> </w:t>
      </w:r>
      <w:r w:rsidR="00B7736E">
        <w:t>1300 369 935 or email</w:t>
      </w:r>
      <w:r>
        <w:t xml:space="preserve"> at </w:t>
      </w:r>
      <w:hyperlink r:id="rId22" w:history="1">
        <w:r w:rsidRPr="00D869A4">
          <w:rPr>
            <w:rStyle w:val="Hyperlink"/>
          </w:rPr>
          <w:t>GISP@desbt.qld.gov.au</w:t>
        </w:r>
      </w:hyperlink>
    </w:p>
    <w:p w14:paraId="395358BB" w14:textId="77777777" w:rsidR="00F17998" w:rsidRPr="00F17998" w:rsidRDefault="00F17998" w:rsidP="00F17998">
      <w:pPr>
        <w:pStyle w:val="Date"/>
      </w:pPr>
    </w:p>
    <w:p w14:paraId="395358BC" w14:textId="77777777" w:rsidR="00F17998" w:rsidRPr="00F17998" w:rsidRDefault="00F17998" w:rsidP="00F17998">
      <w:pPr>
        <w:pStyle w:val="Date"/>
      </w:pPr>
    </w:p>
    <w:p w14:paraId="395358BD" w14:textId="77777777" w:rsidR="00F17998" w:rsidRPr="00F17998" w:rsidRDefault="00F17998" w:rsidP="00F17998">
      <w:pPr>
        <w:pStyle w:val="Date"/>
      </w:pPr>
    </w:p>
    <w:p w14:paraId="395358BE" w14:textId="77777777" w:rsidR="00F17998" w:rsidRPr="00F17998" w:rsidRDefault="00F17998" w:rsidP="00F17998">
      <w:pPr>
        <w:pStyle w:val="Date"/>
      </w:pPr>
    </w:p>
    <w:p w14:paraId="395358BF" w14:textId="77777777" w:rsidR="00F17998" w:rsidRPr="00F17998" w:rsidRDefault="00F17998" w:rsidP="00F17998">
      <w:pPr>
        <w:pStyle w:val="Date"/>
      </w:pPr>
    </w:p>
    <w:p w14:paraId="395358C0" w14:textId="77777777" w:rsidR="00F17998" w:rsidRPr="00F17998" w:rsidRDefault="00F17998" w:rsidP="00F17998">
      <w:pPr>
        <w:pStyle w:val="Date"/>
      </w:pPr>
    </w:p>
    <w:p w14:paraId="395358C1" w14:textId="77777777" w:rsidR="00F17998" w:rsidRPr="00F17998" w:rsidRDefault="00F17998" w:rsidP="00F17998">
      <w:pPr>
        <w:pStyle w:val="Date"/>
      </w:pPr>
    </w:p>
    <w:p w14:paraId="395358C2" w14:textId="77777777" w:rsidR="00F17998" w:rsidRPr="00F17998" w:rsidRDefault="00F17998" w:rsidP="00F17998">
      <w:pPr>
        <w:pStyle w:val="Date"/>
      </w:pPr>
    </w:p>
    <w:p w14:paraId="395358C3" w14:textId="77777777" w:rsidR="00F17998" w:rsidRPr="00F17998" w:rsidRDefault="00F17998" w:rsidP="00F17998">
      <w:pPr>
        <w:pStyle w:val="Date"/>
      </w:pPr>
    </w:p>
    <w:p w14:paraId="395358C4" w14:textId="77777777" w:rsidR="00F17998" w:rsidRPr="00F17998" w:rsidRDefault="00F17998" w:rsidP="00F17998">
      <w:pPr>
        <w:pStyle w:val="Date"/>
      </w:pPr>
    </w:p>
    <w:p w14:paraId="395358C5" w14:textId="77777777" w:rsidR="00F17998" w:rsidRPr="00F17998" w:rsidRDefault="00F17998" w:rsidP="00F17998">
      <w:pPr>
        <w:pStyle w:val="Date"/>
      </w:pPr>
    </w:p>
    <w:p w14:paraId="395358C6" w14:textId="77777777" w:rsidR="00F17998" w:rsidRPr="00F17998" w:rsidRDefault="00F17998" w:rsidP="00F17998">
      <w:pPr>
        <w:pStyle w:val="Date"/>
      </w:pPr>
    </w:p>
    <w:p w14:paraId="395358C7" w14:textId="77777777" w:rsidR="00F17998" w:rsidRPr="00F17998" w:rsidRDefault="00F17998" w:rsidP="00F17998">
      <w:pPr>
        <w:pStyle w:val="Date"/>
      </w:pPr>
    </w:p>
    <w:p w14:paraId="395358C8" w14:textId="77777777" w:rsidR="00F17998" w:rsidRPr="00F17998" w:rsidRDefault="00F17998" w:rsidP="00F17998">
      <w:pPr>
        <w:pStyle w:val="Date"/>
      </w:pPr>
    </w:p>
    <w:p w14:paraId="395358C9" w14:textId="77777777" w:rsidR="00F17998" w:rsidRPr="00F17998" w:rsidRDefault="00F17998" w:rsidP="00F17998">
      <w:pPr>
        <w:pStyle w:val="Date"/>
      </w:pPr>
    </w:p>
    <w:p w14:paraId="395358CA" w14:textId="77777777" w:rsidR="00F17998" w:rsidRPr="00F17998" w:rsidRDefault="00F17998" w:rsidP="00F17998">
      <w:pPr>
        <w:pStyle w:val="Date"/>
      </w:pPr>
    </w:p>
    <w:p w14:paraId="395358CB" w14:textId="77777777" w:rsidR="00F17998" w:rsidRPr="00F17998" w:rsidRDefault="00F17998" w:rsidP="00F17998">
      <w:pPr>
        <w:pStyle w:val="Date"/>
      </w:pPr>
    </w:p>
    <w:p w14:paraId="395358CC" w14:textId="77777777" w:rsidR="00F17998" w:rsidRPr="00F17998" w:rsidRDefault="00F17998" w:rsidP="00F17998">
      <w:pPr>
        <w:pStyle w:val="Date"/>
      </w:pPr>
    </w:p>
    <w:p w14:paraId="395358CD" w14:textId="77777777" w:rsidR="00F17998" w:rsidRPr="00F17998" w:rsidRDefault="00F17998" w:rsidP="00F17998">
      <w:pPr>
        <w:pStyle w:val="Date"/>
      </w:pPr>
    </w:p>
    <w:p w14:paraId="395358CE" w14:textId="77777777" w:rsidR="00F17998" w:rsidRPr="00F17998" w:rsidRDefault="00F17998" w:rsidP="00F17998">
      <w:pPr>
        <w:pStyle w:val="Date"/>
      </w:pPr>
    </w:p>
    <w:p w14:paraId="395358CF" w14:textId="77777777" w:rsidR="00F17998" w:rsidRPr="00F17998" w:rsidRDefault="00F17998" w:rsidP="00F17998">
      <w:pPr>
        <w:pStyle w:val="Date"/>
      </w:pPr>
    </w:p>
    <w:p w14:paraId="395358D0" w14:textId="77777777" w:rsidR="00F17998" w:rsidRPr="00F17998" w:rsidRDefault="00F17998" w:rsidP="00F17998">
      <w:pPr>
        <w:pStyle w:val="Date"/>
      </w:pPr>
    </w:p>
    <w:p w14:paraId="395358D1" w14:textId="77777777" w:rsidR="00F17998" w:rsidRPr="00F17998" w:rsidRDefault="00F17998" w:rsidP="00F17998">
      <w:pPr>
        <w:pStyle w:val="Date"/>
      </w:pPr>
    </w:p>
    <w:p w14:paraId="395358D2" w14:textId="77777777" w:rsidR="00F17998" w:rsidRPr="00F17998" w:rsidRDefault="00F17998" w:rsidP="00F17998">
      <w:pPr>
        <w:pStyle w:val="Date"/>
      </w:pPr>
    </w:p>
    <w:p w14:paraId="395358D3" w14:textId="77777777" w:rsidR="00F17998" w:rsidRPr="00F17998" w:rsidRDefault="00F17998" w:rsidP="00F17998">
      <w:pPr>
        <w:pStyle w:val="Date"/>
      </w:pPr>
    </w:p>
    <w:p w14:paraId="395358D4" w14:textId="77777777" w:rsidR="00F17998" w:rsidRPr="00F17998" w:rsidRDefault="00F17998" w:rsidP="00F17998">
      <w:pPr>
        <w:pStyle w:val="Date"/>
      </w:pPr>
    </w:p>
    <w:p w14:paraId="395358D5" w14:textId="77777777" w:rsidR="00F17998" w:rsidRPr="00F17998" w:rsidRDefault="00F17998" w:rsidP="00F17998">
      <w:pPr>
        <w:pStyle w:val="Date"/>
      </w:pPr>
    </w:p>
    <w:p w14:paraId="395358D6" w14:textId="77777777" w:rsidR="00F17998" w:rsidRPr="00F17998" w:rsidRDefault="00F17998" w:rsidP="00F17998">
      <w:pPr>
        <w:pStyle w:val="Date"/>
      </w:pPr>
    </w:p>
    <w:p w14:paraId="395358D7" w14:textId="77777777" w:rsidR="00F17998" w:rsidRPr="00F17998" w:rsidRDefault="00F17998" w:rsidP="00F17998">
      <w:pPr>
        <w:pStyle w:val="Date"/>
      </w:pPr>
    </w:p>
    <w:p w14:paraId="395358D8" w14:textId="77777777" w:rsidR="00F17998" w:rsidRPr="00F17998" w:rsidRDefault="00F17998" w:rsidP="00F17998">
      <w:pPr>
        <w:pStyle w:val="Date"/>
      </w:pPr>
    </w:p>
    <w:p w14:paraId="395358D9" w14:textId="77777777" w:rsidR="00F17998" w:rsidRPr="00F17998" w:rsidRDefault="00F17998" w:rsidP="00F17998">
      <w:pPr>
        <w:pStyle w:val="Date"/>
      </w:pPr>
    </w:p>
    <w:p w14:paraId="395358DA" w14:textId="77777777" w:rsidR="00F17998" w:rsidRPr="00F17998" w:rsidRDefault="00F17998" w:rsidP="00F17998">
      <w:pPr>
        <w:pStyle w:val="Date"/>
      </w:pPr>
    </w:p>
    <w:p w14:paraId="395358DB" w14:textId="77777777" w:rsidR="00F17998" w:rsidRPr="00F17998" w:rsidRDefault="00F17998" w:rsidP="00F17998">
      <w:pPr>
        <w:pStyle w:val="Date"/>
      </w:pPr>
    </w:p>
    <w:p w14:paraId="395358DC" w14:textId="77777777" w:rsidR="00F17998" w:rsidRPr="00F17998" w:rsidRDefault="00F17998" w:rsidP="00F17998">
      <w:pPr>
        <w:pStyle w:val="Date"/>
      </w:pPr>
    </w:p>
    <w:p w14:paraId="395358DD" w14:textId="77777777" w:rsidR="00F17998" w:rsidRPr="00F17998" w:rsidRDefault="00F17998" w:rsidP="00F17998">
      <w:pPr>
        <w:pStyle w:val="Date"/>
      </w:pPr>
    </w:p>
    <w:p w14:paraId="395358DE" w14:textId="77777777" w:rsidR="00F17998" w:rsidRPr="00F17998" w:rsidRDefault="00F17998" w:rsidP="00F17998">
      <w:pPr>
        <w:pStyle w:val="Date"/>
      </w:pPr>
    </w:p>
    <w:p w14:paraId="395358DF" w14:textId="77777777" w:rsidR="00F17998" w:rsidRPr="00F17998" w:rsidRDefault="00F17998" w:rsidP="00F17998">
      <w:pPr>
        <w:pStyle w:val="Date"/>
      </w:pPr>
    </w:p>
    <w:p w14:paraId="395358E0" w14:textId="77777777" w:rsidR="00F17998" w:rsidRPr="00F17998" w:rsidRDefault="00F17998" w:rsidP="00F17998">
      <w:pPr>
        <w:pStyle w:val="Date"/>
      </w:pPr>
    </w:p>
    <w:p w14:paraId="395358E1" w14:textId="77777777" w:rsidR="00F17998" w:rsidRPr="00F17998" w:rsidRDefault="00F17998" w:rsidP="00F17998">
      <w:pPr>
        <w:pStyle w:val="Date"/>
      </w:pPr>
    </w:p>
    <w:p w14:paraId="395358E2" w14:textId="77777777" w:rsidR="00F17998" w:rsidRPr="00F17998" w:rsidRDefault="00F17998" w:rsidP="00F17998">
      <w:pPr>
        <w:pStyle w:val="Date"/>
      </w:pPr>
    </w:p>
    <w:p w14:paraId="395358E3" w14:textId="77777777" w:rsidR="00F17998" w:rsidRPr="00F17998" w:rsidRDefault="00F17998" w:rsidP="00F17998">
      <w:pPr>
        <w:pStyle w:val="Date"/>
      </w:pPr>
    </w:p>
    <w:p w14:paraId="395358E4" w14:textId="77777777" w:rsidR="00F17998" w:rsidRPr="00F17998" w:rsidRDefault="00F17998" w:rsidP="00F17998">
      <w:pPr>
        <w:pStyle w:val="Date"/>
      </w:pPr>
    </w:p>
    <w:p w14:paraId="395358E5" w14:textId="77777777" w:rsidR="00F17998" w:rsidRPr="00F17998" w:rsidRDefault="00F17998" w:rsidP="00F17998">
      <w:pPr>
        <w:pStyle w:val="Date"/>
      </w:pPr>
    </w:p>
    <w:p w14:paraId="395358E6" w14:textId="77777777" w:rsidR="00F17998" w:rsidRPr="00F17998" w:rsidRDefault="00F17998" w:rsidP="00F17998">
      <w:pPr>
        <w:pStyle w:val="Date"/>
      </w:pPr>
    </w:p>
    <w:p w14:paraId="395358E7" w14:textId="77777777" w:rsidR="00F17998" w:rsidRPr="00F17998" w:rsidRDefault="00F17998" w:rsidP="00F17998">
      <w:pPr>
        <w:pStyle w:val="Date"/>
      </w:pPr>
    </w:p>
    <w:p w14:paraId="395358E8" w14:textId="77777777" w:rsidR="00F17998" w:rsidRPr="00F17998" w:rsidRDefault="00F17998" w:rsidP="00F17998">
      <w:pPr>
        <w:pStyle w:val="Date"/>
      </w:pPr>
    </w:p>
    <w:p w14:paraId="395358E9" w14:textId="77777777" w:rsidR="00F17998" w:rsidRPr="00F17998" w:rsidRDefault="00F17998" w:rsidP="00F17998">
      <w:pPr>
        <w:pStyle w:val="Date"/>
      </w:pPr>
    </w:p>
    <w:p w14:paraId="395358EA" w14:textId="77777777" w:rsidR="00F17998" w:rsidRPr="00F17998" w:rsidRDefault="00F17998" w:rsidP="00F17998">
      <w:pPr>
        <w:pStyle w:val="Date"/>
      </w:pPr>
    </w:p>
    <w:p w14:paraId="395358EB" w14:textId="77777777" w:rsidR="00F17998" w:rsidRPr="00F17998" w:rsidRDefault="00F17998" w:rsidP="00F17998">
      <w:pPr>
        <w:pStyle w:val="Date"/>
      </w:pPr>
    </w:p>
    <w:p w14:paraId="395358EC" w14:textId="77777777" w:rsidR="00F17998" w:rsidRPr="00F17998" w:rsidRDefault="00F17998" w:rsidP="00F17998">
      <w:pPr>
        <w:pStyle w:val="Date"/>
      </w:pPr>
    </w:p>
    <w:p w14:paraId="395358ED" w14:textId="77777777" w:rsidR="00F17998" w:rsidRDefault="00F17998" w:rsidP="00F17998">
      <w:pPr>
        <w:pStyle w:val="Date"/>
      </w:pPr>
    </w:p>
    <w:p w14:paraId="395358EE" w14:textId="77777777" w:rsidR="00F17998" w:rsidRPr="00F17998" w:rsidRDefault="007D2140" w:rsidP="00F17998">
      <w:pPr>
        <w:pStyle w:val="Date"/>
        <w:tabs>
          <w:tab w:val="left" w:pos="6657"/>
        </w:tabs>
      </w:pPr>
      <w:r>
        <w:tab/>
      </w:r>
    </w:p>
    <w:sectPr w:rsidR="00F17998" w:rsidRPr="00F17998" w:rsidSect="00A77817">
      <w:headerReference w:type="first" r:id="rId23"/>
      <w:pgSz w:w="11907" w:h="16840" w:code="9"/>
      <w:pgMar w:top="720" w:right="720" w:bottom="720" w:left="720"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5360" w14:textId="77777777" w:rsidR="00F50373" w:rsidRDefault="00F50373">
      <w:r>
        <w:separator/>
      </w:r>
    </w:p>
  </w:endnote>
  <w:endnote w:type="continuationSeparator" w:id="0">
    <w:p w14:paraId="52CED8D8" w14:textId="77777777" w:rsidR="00F50373" w:rsidRDefault="00F5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8F3" w14:textId="77777777" w:rsidR="00F17998" w:rsidRDefault="00F1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9066"/>
      <w:gridCol w:w="1401"/>
    </w:tblGrid>
    <w:tr w:rsidR="00D12BF7" w14:paraId="395358F6" w14:textId="77777777" w:rsidTr="00AD7C72">
      <w:tc>
        <w:tcPr>
          <w:tcW w:w="7819" w:type="dxa"/>
          <w:vAlign w:val="bottom"/>
        </w:tcPr>
        <w:p w14:paraId="395358F4" w14:textId="77777777" w:rsidR="006667E6" w:rsidRPr="004A1419" w:rsidRDefault="007D2140" w:rsidP="005C4352">
          <w:pPr>
            <w:pStyle w:val="Footer"/>
            <w:rPr>
              <w:b w:val="0"/>
              <w:bCs/>
              <w:color w:val="auto"/>
            </w:rPr>
          </w:pPr>
          <w:r>
            <w:rPr>
              <w:color w:val="auto"/>
            </w:rPr>
            <w:t>Gateway to Industry Schools program (GISP)</w:t>
          </w:r>
          <w:r w:rsidR="00EB5C78">
            <w:rPr>
              <w:b w:val="0"/>
              <w:bCs/>
              <w:color w:val="auto"/>
            </w:rPr>
            <w:t xml:space="preserve"> </w:t>
          </w:r>
          <w:r w:rsidR="00F17998">
            <w:rPr>
              <w:b w:val="0"/>
              <w:bCs/>
              <w:color w:val="auto"/>
            </w:rPr>
            <w:t>–</w:t>
          </w:r>
          <w:r w:rsidR="00F87A3E">
            <w:rPr>
              <w:b w:val="0"/>
              <w:bCs/>
              <w:color w:val="auto"/>
            </w:rPr>
            <w:t xml:space="preserve"> </w:t>
          </w:r>
          <w:r w:rsidR="00F17998">
            <w:rPr>
              <w:b w:val="0"/>
              <w:bCs/>
              <w:color w:val="auto"/>
            </w:rPr>
            <w:t>2025-28 GISP p</w:t>
          </w:r>
          <w:r w:rsidR="00EB5C78">
            <w:rPr>
              <w:b w:val="0"/>
              <w:bCs/>
              <w:color w:val="auto"/>
            </w:rPr>
            <w:t>rogram guideline</w:t>
          </w:r>
          <w:r w:rsidR="00F87A3E">
            <w:rPr>
              <w:b w:val="0"/>
              <w:bCs/>
              <w:color w:val="auto"/>
            </w:rPr>
            <w:t>s</w:t>
          </w:r>
          <w:r w:rsidR="0051014F">
            <w:rPr>
              <w:b w:val="0"/>
              <w:bCs/>
              <w:color w:val="auto"/>
            </w:rPr>
            <w:t xml:space="preserve"> </w:t>
          </w:r>
          <w:r>
            <w:rPr>
              <w:b w:val="0"/>
              <w:bCs/>
              <w:color w:val="auto"/>
            </w:rPr>
            <w:t>v1</w:t>
          </w:r>
        </w:p>
      </w:tc>
      <w:tc>
        <w:tcPr>
          <w:tcW w:w="1208" w:type="dxa"/>
          <w:vAlign w:val="bottom"/>
        </w:tcPr>
        <w:p w14:paraId="395358F5" w14:textId="77777777" w:rsidR="003B707D" w:rsidRPr="00553651" w:rsidRDefault="007D2140"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Pr="00553651">
            <w:rPr>
              <w:color w:val="auto"/>
            </w:rPr>
            <w:t>6</w:t>
          </w:r>
          <w:r w:rsidRPr="00553651">
            <w:rPr>
              <w:color w:val="auto"/>
            </w:rPr>
            <w:fldChar w:fldCharType="end"/>
          </w:r>
          <w:r w:rsidRPr="00553651">
            <w:rPr>
              <w:color w:val="auto"/>
            </w:rPr>
            <w:t xml:space="preserve"> -</w:t>
          </w:r>
        </w:p>
      </w:tc>
    </w:tr>
  </w:tbl>
  <w:p w14:paraId="395358F7" w14:textId="77777777" w:rsidR="003B707D" w:rsidRPr="00553651" w:rsidRDefault="007D2140" w:rsidP="00AD7C72">
    <w:pPr>
      <w:pStyle w:val="Footer"/>
      <w:jc w:val="right"/>
      <w:rPr>
        <w:color w:val="auto"/>
        <w:sz w:val="2"/>
        <w:szCs w:val="2"/>
      </w:rPr>
    </w:pPr>
    <w:r w:rsidRPr="00553651">
      <w:rPr>
        <w:noProof/>
        <w:color w:val="auto"/>
        <w:sz w:val="2"/>
        <w:szCs w:val="2"/>
      </w:rPr>
      <w:drawing>
        <wp:anchor distT="0" distB="0" distL="114300" distR="114300" simplePos="0" relativeHeight="251660288" behindDoc="1" locked="0" layoutInCell="1" allowOverlap="1" wp14:anchorId="39535908" wp14:editId="39535909">
          <wp:simplePos x="0" y="0"/>
          <wp:positionH relativeFrom="rightMargin">
            <wp:posOffset>-224790</wp:posOffset>
          </wp:positionH>
          <wp:positionV relativeFrom="paragraph">
            <wp:posOffset>-3696970</wp:posOffset>
          </wp:positionV>
          <wp:extent cx="4410710" cy="4387215"/>
          <wp:effectExtent l="0" t="0" r="889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901" w14:textId="77777777" w:rsidR="003B707D" w:rsidRDefault="007D2140">
    <w:pPr>
      <w:pStyle w:val="Footer"/>
    </w:pPr>
    <w:r w:rsidRPr="004D7FB0">
      <w:rPr>
        <w:noProof/>
        <w:lang w:eastAsia="zh-TW"/>
      </w:rPr>
      <w:drawing>
        <wp:anchor distT="0" distB="0" distL="114300" distR="114300" simplePos="0" relativeHeight="251658240" behindDoc="1" locked="0" layoutInCell="1" allowOverlap="1" wp14:anchorId="39535910" wp14:editId="39535911">
          <wp:simplePos x="0" y="0"/>
          <wp:positionH relativeFrom="page">
            <wp:posOffset>5383421</wp:posOffset>
          </wp:positionH>
          <wp:positionV relativeFrom="page">
            <wp:posOffset>9596755</wp:posOffset>
          </wp:positionV>
          <wp:extent cx="2160000" cy="108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39535902" w14:textId="77777777" w:rsidR="003B707D" w:rsidRDefault="003B707D">
    <w:pPr>
      <w:pStyle w:val="Footer"/>
    </w:pPr>
  </w:p>
  <w:p w14:paraId="39535903" w14:textId="77777777" w:rsidR="003B707D" w:rsidRDefault="003B707D">
    <w:pPr>
      <w:pStyle w:val="Footer"/>
    </w:pPr>
  </w:p>
  <w:p w14:paraId="39535904"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1896" w14:textId="77777777" w:rsidR="00F50373" w:rsidRDefault="00F50373">
      <w:r>
        <w:separator/>
      </w:r>
    </w:p>
  </w:footnote>
  <w:footnote w:type="continuationSeparator" w:id="0">
    <w:p w14:paraId="2EB86827" w14:textId="77777777" w:rsidR="00F50373" w:rsidRDefault="00F5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8EF" w14:textId="77777777" w:rsidR="00F17998" w:rsidRDefault="00F1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8F0" w14:textId="77777777" w:rsidR="00D91BE3" w:rsidRPr="00F02B8C" w:rsidRDefault="007D2140" w:rsidP="00D91BE3">
    <w:pPr>
      <w:rPr>
        <w:sz w:val="4"/>
      </w:rPr>
    </w:pPr>
    <w:r w:rsidRPr="00165F81">
      <w:rPr>
        <w:noProof/>
        <w:sz w:val="4"/>
        <w:lang w:eastAsia="zh-TW"/>
      </w:rPr>
      <mc:AlternateContent>
        <mc:Choice Requires="wps">
          <w:drawing>
            <wp:anchor distT="0" distB="0" distL="114300" distR="114300" simplePos="0" relativeHeight="251659264" behindDoc="0" locked="0" layoutInCell="1" allowOverlap="1" wp14:anchorId="39535906" wp14:editId="39535907">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7" o:spid="_x0000_s2049" style="width:84.5pt;height:25.85pt;margin-top:823.3pt;margin-left:-72.05pt;mso-wrap-distance-bottom:0;mso-wrap-distance-left:9pt;mso-wrap-distance-right:9pt;mso-wrap-distance-top:0;mso-wrap-style:square;position:absolute;visibility:visible;v-text-anchor:middle;z-index:251665408" fillcolor="#ea891c" stroked="f" strokeweight="1pt"/>
          </w:pict>
        </mc:Fallback>
      </mc:AlternateContent>
    </w:r>
  </w:p>
  <w:p w14:paraId="395358F1" w14:textId="77777777" w:rsidR="00D91BE3" w:rsidRPr="006108C5" w:rsidRDefault="00D91BE3" w:rsidP="00D91BE3">
    <w:pPr>
      <w:pStyle w:val="Header"/>
      <w:rPr>
        <w:sz w:val="2"/>
        <w:szCs w:val="2"/>
      </w:rPr>
    </w:pPr>
  </w:p>
  <w:p w14:paraId="395358F2" w14:textId="77777777" w:rsidR="006C0ADB" w:rsidRDefault="006C0A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8F8" w14:textId="77777777" w:rsidR="00FE5331" w:rsidRDefault="00FE5331">
    <w:pPr>
      <w:pStyle w:val="Header"/>
    </w:pPr>
  </w:p>
  <w:p w14:paraId="395358F9" w14:textId="77777777" w:rsidR="00FE5331" w:rsidRDefault="00FE5331">
    <w:pPr>
      <w:pStyle w:val="Header"/>
    </w:pPr>
  </w:p>
  <w:p w14:paraId="395358FA" w14:textId="77777777" w:rsidR="00FE5331" w:rsidRDefault="00FE5331">
    <w:pPr>
      <w:pStyle w:val="Header"/>
    </w:pPr>
  </w:p>
  <w:p w14:paraId="395358FB" w14:textId="77777777" w:rsidR="00FE5331" w:rsidRDefault="007D2140">
    <w:pPr>
      <w:pStyle w:val="Header"/>
    </w:pPr>
    <w:r w:rsidRPr="00747299">
      <w:rPr>
        <w:noProof/>
        <w:color w:val="FFFFFF" w:themeColor="background1"/>
      </w:rPr>
      <mc:AlternateContent>
        <mc:Choice Requires="wps">
          <w:drawing>
            <wp:anchor distT="0" distB="0" distL="114300" distR="114300" simplePos="0" relativeHeight="251663360" behindDoc="0" locked="0" layoutInCell="1" allowOverlap="1" wp14:anchorId="3953590A" wp14:editId="3953590B">
              <wp:simplePos x="0" y="0"/>
              <wp:positionH relativeFrom="page">
                <wp:posOffset>-79001</wp:posOffset>
              </wp:positionH>
              <wp:positionV relativeFrom="paragraph">
                <wp:posOffset>76805</wp:posOffset>
              </wp:positionV>
              <wp:extent cx="4343400" cy="57848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343400" cy="578485"/>
                      </a:xfrm>
                      <a:prstGeom prst="rect">
                        <a:avLst/>
                      </a:prstGeom>
                      <a:solidFill>
                        <a:schemeClr val="tx1"/>
                      </a:solidFill>
                      <a:ln w="6350">
                        <a:noFill/>
                      </a:ln>
                    </wps:spPr>
                    <wps:txbx>
                      <w:txbxContent>
                        <w:p w14:paraId="39535912" w14:textId="77777777" w:rsidR="00FE5331" w:rsidRDefault="007D2140" w:rsidP="00FE5331">
                          <w:pPr>
                            <w:shd w:val="clear" w:color="auto" w:fill="000000" w:themeFill="text1"/>
                            <w:rPr>
                              <w:b/>
                              <w:bCs/>
                              <w:sz w:val="32"/>
                              <w:szCs w:val="32"/>
                              <w:lang w:val="en-US"/>
                            </w:rPr>
                          </w:pPr>
                          <w:r>
                            <w:rPr>
                              <w:b/>
                              <w:bCs/>
                              <w:sz w:val="32"/>
                              <w:szCs w:val="32"/>
                              <w:lang w:val="en-US"/>
                            </w:rPr>
                            <w:t xml:space="preserve">   </w:t>
                          </w:r>
                          <w:r w:rsidR="00544AD5">
                            <w:rPr>
                              <w:b/>
                              <w:bCs/>
                              <w:sz w:val="32"/>
                              <w:szCs w:val="32"/>
                              <w:lang w:val="en-US"/>
                            </w:rPr>
                            <w:t>Gateway to Industry Schools program</w:t>
                          </w:r>
                        </w:p>
                        <w:p w14:paraId="39535913" w14:textId="77777777" w:rsidR="006424D5" w:rsidRPr="00FE5331" w:rsidRDefault="007D2140" w:rsidP="006424D5">
                          <w:pPr>
                            <w:shd w:val="clear" w:color="auto" w:fill="000000" w:themeFill="text1"/>
                            <w:rPr>
                              <w:b/>
                              <w:bCs/>
                              <w:color w:val="FFFFFF" w:themeColor="background1"/>
                              <w:sz w:val="24"/>
                              <w:lang w:val="en-US"/>
                            </w:rPr>
                          </w:pPr>
                          <w:r>
                            <w:rPr>
                              <w:b/>
                              <w:bCs/>
                              <w:color w:val="FFFFFF" w:themeColor="background1"/>
                              <w:sz w:val="24"/>
                              <w:lang w:val="en-US"/>
                            </w:rPr>
                            <w:t xml:space="preserve">    </w:t>
                          </w:r>
                          <w:r w:rsidR="00DB63DD">
                            <w:rPr>
                              <w:b/>
                              <w:bCs/>
                              <w:color w:val="FFFFFF" w:themeColor="background1"/>
                              <w:sz w:val="24"/>
                              <w:lang w:val="en-US"/>
                            </w:rPr>
                            <w:t>Funding guidelines</w:t>
                          </w:r>
                          <w:r w:rsidRPr="00FE5331">
                            <w:rPr>
                              <w:b/>
                              <w:bCs/>
                              <w:color w:val="FFFFFF" w:themeColor="background1"/>
                              <w:sz w:val="24"/>
                              <w:lang w:val="en-US"/>
                            </w:rPr>
                            <w:t xml:space="preserve"> </w:t>
                          </w:r>
                          <w:r w:rsidR="00544AD5">
                            <w:rPr>
                              <w:b/>
                              <w:bCs/>
                              <w:color w:val="FFFFFF" w:themeColor="background1"/>
                              <w:sz w:val="24"/>
                              <w:lang w:val="en-US"/>
                            </w:rPr>
                            <w:t>2025-28</w:t>
                          </w:r>
                        </w:p>
                        <w:p w14:paraId="39535914" w14:textId="77777777" w:rsidR="006424D5" w:rsidRDefault="006424D5" w:rsidP="00FE5331">
                          <w:pPr>
                            <w:shd w:val="clear" w:color="auto" w:fill="000000" w:themeFill="text1"/>
                            <w:rPr>
                              <w:b/>
                              <w:bCs/>
                              <w:sz w:val="32"/>
                              <w:szCs w:val="32"/>
                              <w:lang w:val="en-US"/>
                            </w:rPr>
                          </w:pPr>
                        </w:p>
                        <w:p w14:paraId="39535915" w14:textId="77777777" w:rsidR="00FE5331" w:rsidRDefault="00FE5331" w:rsidP="00FE5331">
                          <w:pPr>
                            <w:shd w:val="clear" w:color="auto" w:fill="000000" w:themeFill="text1"/>
                            <w:rPr>
                              <w:b/>
                              <w:bCs/>
                              <w:sz w:val="32"/>
                              <w:szCs w:val="32"/>
                              <w:lang w:val="en-US"/>
                            </w:rPr>
                          </w:pPr>
                        </w:p>
                        <w:p w14:paraId="39535916" w14:textId="77777777" w:rsidR="00FE5331" w:rsidRPr="00FE5331" w:rsidRDefault="00FE5331" w:rsidP="00FE5331">
                          <w:pPr>
                            <w:shd w:val="clear" w:color="auto" w:fill="000000" w:themeFill="text1"/>
                            <w:rPr>
                              <w:b/>
                              <w:bCs/>
                              <w:sz w:val="32"/>
                              <w:szCs w:val="32"/>
                              <w:lang w:val="en-U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953590A" id="_x0000_t202" coordsize="21600,21600" o:spt="202" path="m,l,21600r21600,l21600,xe">
              <v:stroke joinstyle="miter"/>
              <v:path gradientshapeok="t" o:connecttype="rect"/>
            </v:shapetype>
            <v:shape id="Text Box 70" o:spid="_x0000_s1026" type="#_x0000_t202" style="position:absolute;margin-left:-6.2pt;margin-top:6.05pt;width:342pt;height:4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" fillcolor="black [3213]" stroked="f" strokeweight=".5pt">
              <v:textbox>
                <w:txbxContent>
                  <w:p w14:paraId="39535912" w14:textId="77777777" w:rsidR="00FE5331" w:rsidRDefault="007D2140" w:rsidP="00FE5331">
                    <w:pPr>
                      <w:shd w:val="clear" w:color="auto" w:fill="000000" w:themeFill="text1"/>
                      <w:rPr>
                        <w:b/>
                        <w:bCs/>
                        <w:sz w:val="32"/>
                        <w:szCs w:val="32"/>
                        <w:lang w:val="en-US"/>
                      </w:rPr>
                    </w:pPr>
                    <w:r>
                      <w:rPr>
                        <w:b/>
                        <w:bCs/>
                        <w:sz w:val="32"/>
                        <w:szCs w:val="32"/>
                        <w:lang w:val="en-US"/>
                      </w:rPr>
                      <w:t xml:space="preserve">   </w:t>
                    </w:r>
                    <w:r w:rsidR="00544AD5">
                      <w:rPr>
                        <w:b/>
                        <w:bCs/>
                        <w:sz w:val="32"/>
                        <w:szCs w:val="32"/>
                        <w:lang w:val="en-US"/>
                      </w:rPr>
                      <w:t>Gateway to Industry Schools program</w:t>
                    </w:r>
                  </w:p>
                  <w:p w14:paraId="39535913" w14:textId="77777777" w:rsidR="006424D5" w:rsidRPr="00FE5331" w:rsidRDefault="007D2140" w:rsidP="006424D5">
                    <w:pPr>
                      <w:shd w:val="clear" w:color="auto" w:fill="000000" w:themeFill="text1"/>
                      <w:rPr>
                        <w:b/>
                        <w:bCs/>
                        <w:color w:val="FFFFFF" w:themeColor="background1"/>
                        <w:sz w:val="24"/>
                        <w:lang w:val="en-US"/>
                      </w:rPr>
                    </w:pPr>
                    <w:r>
                      <w:rPr>
                        <w:b/>
                        <w:bCs/>
                        <w:color w:val="FFFFFF" w:themeColor="background1"/>
                        <w:sz w:val="24"/>
                        <w:lang w:val="en-US"/>
                      </w:rPr>
                      <w:t xml:space="preserve">    </w:t>
                    </w:r>
                    <w:r w:rsidR="00DB63DD">
                      <w:rPr>
                        <w:b/>
                        <w:bCs/>
                        <w:color w:val="FFFFFF" w:themeColor="background1"/>
                        <w:sz w:val="24"/>
                        <w:lang w:val="en-US"/>
                      </w:rPr>
                      <w:t>Funding guidelines</w:t>
                    </w:r>
                    <w:r w:rsidRPr="00FE5331">
                      <w:rPr>
                        <w:b/>
                        <w:bCs/>
                        <w:color w:val="FFFFFF" w:themeColor="background1"/>
                        <w:sz w:val="24"/>
                        <w:lang w:val="en-US"/>
                      </w:rPr>
                      <w:t xml:space="preserve"> </w:t>
                    </w:r>
                    <w:r w:rsidR="00544AD5">
                      <w:rPr>
                        <w:b/>
                        <w:bCs/>
                        <w:color w:val="FFFFFF" w:themeColor="background1"/>
                        <w:sz w:val="24"/>
                        <w:lang w:val="en-US"/>
                      </w:rPr>
                      <w:t>2025-28</w:t>
                    </w:r>
                  </w:p>
                  <w:p w14:paraId="39535914" w14:textId="77777777" w:rsidR="006424D5" w:rsidRDefault="006424D5" w:rsidP="00FE5331">
                    <w:pPr>
                      <w:shd w:val="clear" w:color="auto" w:fill="000000" w:themeFill="text1"/>
                      <w:rPr>
                        <w:b/>
                        <w:bCs/>
                        <w:sz w:val="32"/>
                        <w:szCs w:val="32"/>
                        <w:lang w:val="en-US"/>
                      </w:rPr>
                    </w:pPr>
                  </w:p>
                  <w:p w14:paraId="39535915" w14:textId="77777777" w:rsidR="00FE5331" w:rsidRDefault="00FE5331" w:rsidP="00FE5331">
                    <w:pPr>
                      <w:shd w:val="clear" w:color="auto" w:fill="000000" w:themeFill="text1"/>
                      <w:rPr>
                        <w:b/>
                        <w:bCs/>
                        <w:sz w:val="32"/>
                        <w:szCs w:val="32"/>
                        <w:lang w:val="en-US"/>
                      </w:rPr>
                    </w:pPr>
                  </w:p>
                  <w:p w14:paraId="39535916" w14:textId="77777777" w:rsidR="00FE5331" w:rsidRPr="00FE5331" w:rsidRDefault="00FE5331" w:rsidP="00FE5331">
                    <w:pPr>
                      <w:shd w:val="clear" w:color="auto" w:fill="000000" w:themeFill="text1"/>
                      <w:rPr>
                        <w:b/>
                        <w:bCs/>
                        <w:sz w:val="32"/>
                        <w:szCs w:val="32"/>
                        <w:lang w:val="en-US"/>
                      </w:rPr>
                    </w:pPr>
                  </w:p>
                </w:txbxContent>
              </v:textbox>
              <w10:wrap anchorx="page"/>
            </v:shape>
          </w:pict>
        </mc:Fallback>
      </mc:AlternateContent>
    </w:r>
  </w:p>
  <w:p w14:paraId="395358FC" w14:textId="77777777" w:rsidR="00FE5331" w:rsidRDefault="00FE5331">
    <w:pPr>
      <w:pStyle w:val="Header"/>
    </w:pPr>
  </w:p>
  <w:p w14:paraId="395358FD" w14:textId="77777777" w:rsidR="00FE5331" w:rsidRDefault="00FE5331">
    <w:pPr>
      <w:pStyle w:val="Header"/>
    </w:pPr>
  </w:p>
  <w:p w14:paraId="395358FE" w14:textId="77777777" w:rsidR="00FE5331" w:rsidRDefault="00FE5331">
    <w:pPr>
      <w:pStyle w:val="Header"/>
    </w:pPr>
  </w:p>
  <w:p w14:paraId="395358FF" w14:textId="77777777" w:rsidR="00FE5331" w:rsidRDefault="00FE5331">
    <w:pPr>
      <w:pStyle w:val="Header"/>
    </w:pPr>
  </w:p>
  <w:p w14:paraId="39535900" w14:textId="77777777" w:rsidR="00DF5031" w:rsidRDefault="007D2140">
    <w:pPr>
      <w:pStyle w:val="Header"/>
    </w:pPr>
    <w:r>
      <w:rPr>
        <w:noProof/>
        <w:lang w:eastAsia="zh-TW"/>
      </w:rPr>
      <w:drawing>
        <wp:anchor distT="0" distB="0" distL="114300" distR="114300" simplePos="0" relativeHeight="251662336" behindDoc="1" locked="0" layoutInCell="1" allowOverlap="1" wp14:anchorId="3953590C" wp14:editId="3953590D">
          <wp:simplePos x="0" y="0"/>
          <wp:positionH relativeFrom="column">
            <wp:posOffset>3990975</wp:posOffset>
          </wp:positionH>
          <wp:positionV relativeFrom="page">
            <wp:posOffset>333375</wp:posOffset>
          </wp:positionV>
          <wp:extent cx="2276472" cy="3219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9190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49">
      <w:rPr>
        <w:noProof/>
      </w:rPr>
      <w:drawing>
        <wp:anchor distT="0" distB="0" distL="114300" distR="114300" simplePos="0" relativeHeight="251661312" behindDoc="1" locked="0" layoutInCell="1" allowOverlap="1" wp14:anchorId="3953590E" wp14:editId="3953590F">
          <wp:simplePos x="0" y="0"/>
          <wp:positionH relativeFrom="column">
            <wp:posOffset>-3648075</wp:posOffset>
          </wp:positionH>
          <wp:positionV relativeFrom="page">
            <wp:posOffset>-3238500</wp:posOffset>
          </wp:positionV>
          <wp:extent cx="5645150" cy="5621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644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645150" cy="562102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905" w14:textId="77777777" w:rsidR="00157358" w:rsidRPr="00DB63DD" w:rsidRDefault="00157358" w:rsidP="00DB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ED763D7"/>
    <w:multiLevelType w:val="hybridMultilevel"/>
    <w:tmpl w:val="CF22DC78"/>
    <w:lvl w:ilvl="0" w:tplc="21BA3684">
      <w:start w:val="1"/>
      <w:numFmt w:val="bullet"/>
      <w:lvlText w:val=""/>
      <w:lvlJc w:val="left"/>
      <w:pPr>
        <w:ind w:left="360" w:hanging="360"/>
      </w:pPr>
      <w:rPr>
        <w:rFonts w:ascii="Symbol" w:hAnsi="Symbol" w:hint="default"/>
      </w:rPr>
    </w:lvl>
    <w:lvl w:ilvl="1" w:tplc="F7C4AB12" w:tentative="1">
      <w:start w:val="1"/>
      <w:numFmt w:val="bullet"/>
      <w:lvlText w:val="o"/>
      <w:lvlJc w:val="left"/>
      <w:pPr>
        <w:ind w:left="1080" w:hanging="360"/>
      </w:pPr>
      <w:rPr>
        <w:rFonts w:ascii="Courier New" w:hAnsi="Courier New" w:cs="Courier New" w:hint="default"/>
      </w:rPr>
    </w:lvl>
    <w:lvl w:ilvl="2" w:tplc="6688FB08" w:tentative="1">
      <w:start w:val="1"/>
      <w:numFmt w:val="bullet"/>
      <w:lvlText w:val=""/>
      <w:lvlJc w:val="left"/>
      <w:pPr>
        <w:ind w:left="1800" w:hanging="360"/>
      </w:pPr>
      <w:rPr>
        <w:rFonts w:ascii="Wingdings" w:hAnsi="Wingdings" w:hint="default"/>
      </w:rPr>
    </w:lvl>
    <w:lvl w:ilvl="3" w:tplc="0B10E22A" w:tentative="1">
      <w:start w:val="1"/>
      <w:numFmt w:val="bullet"/>
      <w:lvlText w:val=""/>
      <w:lvlJc w:val="left"/>
      <w:pPr>
        <w:ind w:left="2520" w:hanging="360"/>
      </w:pPr>
      <w:rPr>
        <w:rFonts w:ascii="Symbol" w:hAnsi="Symbol" w:hint="default"/>
      </w:rPr>
    </w:lvl>
    <w:lvl w:ilvl="4" w:tplc="23B40A6E" w:tentative="1">
      <w:start w:val="1"/>
      <w:numFmt w:val="bullet"/>
      <w:lvlText w:val="o"/>
      <w:lvlJc w:val="left"/>
      <w:pPr>
        <w:ind w:left="3240" w:hanging="360"/>
      </w:pPr>
      <w:rPr>
        <w:rFonts w:ascii="Courier New" w:hAnsi="Courier New" w:cs="Courier New" w:hint="default"/>
      </w:rPr>
    </w:lvl>
    <w:lvl w:ilvl="5" w:tplc="6FA8FC36" w:tentative="1">
      <w:start w:val="1"/>
      <w:numFmt w:val="bullet"/>
      <w:lvlText w:val=""/>
      <w:lvlJc w:val="left"/>
      <w:pPr>
        <w:ind w:left="3960" w:hanging="360"/>
      </w:pPr>
      <w:rPr>
        <w:rFonts w:ascii="Wingdings" w:hAnsi="Wingdings" w:hint="default"/>
      </w:rPr>
    </w:lvl>
    <w:lvl w:ilvl="6" w:tplc="6EFEA228" w:tentative="1">
      <w:start w:val="1"/>
      <w:numFmt w:val="bullet"/>
      <w:lvlText w:val=""/>
      <w:lvlJc w:val="left"/>
      <w:pPr>
        <w:ind w:left="4680" w:hanging="360"/>
      </w:pPr>
      <w:rPr>
        <w:rFonts w:ascii="Symbol" w:hAnsi="Symbol" w:hint="default"/>
      </w:rPr>
    </w:lvl>
    <w:lvl w:ilvl="7" w:tplc="89D052C4" w:tentative="1">
      <w:start w:val="1"/>
      <w:numFmt w:val="bullet"/>
      <w:lvlText w:val="o"/>
      <w:lvlJc w:val="left"/>
      <w:pPr>
        <w:ind w:left="5400" w:hanging="360"/>
      </w:pPr>
      <w:rPr>
        <w:rFonts w:ascii="Courier New" w:hAnsi="Courier New" w:cs="Courier New" w:hint="default"/>
      </w:rPr>
    </w:lvl>
    <w:lvl w:ilvl="8" w:tplc="83F027A6" w:tentative="1">
      <w:start w:val="1"/>
      <w:numFmt w:val="bullet"/>
      <w:lvlText w:val=""/>
      <w:lvlJc w:val="left"/>
      <w:pPr>
        <w:ind w:left="6120" w:hanging="360"/>
      </w:pPr>
      <w:rPr>
        <w:rFonts w:ascii="Wingdings" w:hAnsi="Wingdings" w:hint="default"/>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3062A9C"/>
    <w:multiLevelType w:val="hybridMultilevel"/>
    <w:tmpl w:val="B4E2BDF2"/>
    <w:lvl w:ilvl="0" w:tplc="138638A0">
      <w:start w:val="1"/>
      <w:numFmt w:val="bullet"/>
      <w:lvlText w:val=""/>
      <w:lvlJc w:val="left"/>
      <w:pPr>
        <w:ind w:left="360" w:hanging="360"/>
      </w:pPr>
      <w:rPr>
        <w:rFonts w:ascii="Symbol" w:hAnsi="Symbol" w:hint="default"/>
      </w:rPr>
    </w:lvl>
    <w:lvl w:ilvl="1" w:tplc="A9D4CA5E" w:tentative="1">
      <w:start w:val="1"/>
      <w:numFmt w:val="bullet"/>
      <w:lvlText w:val="o"/>
      <w:lvlJc w:val="left"/>
      <w:pPr>
        <w:ind w:left="1080" w:hanging="360"/>
      </w:pPr>
      <w:rPr>
        <w:rFonts w:ascii="Courier New" w:hAnsi="Courier New" w:cs="Courier New" w:hint="default"/>
      </w:rPr>
    </w:lvl>
    <w:lvl w:ilvl="2" w:tplc="EED2B426" w:tentative="1">
      <w:start w:val="1"/>
      <w:numFmt w:val="bullet"/>
      <w:lvlText w:val=""/>
      <w:lvlJc w:val="left"/>
      <w:pPr>
        <w:ind w:left="1800" w:hanging="360"/>
      </w:pPr>
      <w:rPr>
        <w:rFonts w:ascii="Wingdings" w:hAnsi="Wingdings" w:hint="default"/>
      </w:rPr>
    </w:lvl>
    <w:lvl w:ilvl="3" w:tplc="9126E2D0" w:tentative="1">
      <w:start w:val="1"/>
      <w:numFmt w:val="bullet"/>
      <w:lvlText w:val=""/>
      <w:lvlJc w:val="left"/>
      <w:pPr>
        <w:ind w:left="2520" w:hanging="360"/>
      </w:pPr>
      <w:rPr>
        <w:rFonts w:ascii="Symbol" w:hAnsi="Symbol" w:hint="default"/>
      </w:rPr>
    </w:lvl>
    <w:lvl w:ilvl="4" w:tplc="0AA4B06E" w:tentative="1">
      <w:start w:val="1"/>
      <w:numFmt w:val="bullet"/>
      <w:lvlText w:val="o"/>
      <w:lvlJc w:val="left"/>
      <w:pPr>
        <w:ind w:left="3240" w:hanging="360"/>
      </w:pPr>
      <w:rPr>
        <w:rFonts w:ascii="Courier New" w:hAnsi="Courier New" w:cs="Courier New" w:hint="default"/>
      </w:rPr>
    </w:lvl>
    <w:lvl w:ilvl="5" w:tplc="E5488506" w:tentative="1">
      <w:start w:val="1"/>
      <w:numFmt w:val="bullet"/>
      <w:lvlText w:val=""/>
      <w:lvlJc w:val="left"/>
      <w:pPr>
        <w:ind w:left="3960" w:hanging="360"/>
      </w:pPr>
      <w:rPr>
        <w:rFonts w:ascii="Wingdings" w:hAnsi="Wingdings" w:hint="default"/>
      </w:rPr>
    </w:lvl>
    <w:lvl w:ilvl="6" w:tplc="9E5CA996" w:tentative="1">
      <w:start w:val="1"/>
      <w:numFmt w:val="bullet"/>
      <w:lvlText w:val=""/>
      <w:lvlJc w:val="left"/>
      <w:pPr>
        <w:ind w:left="4680" w:hanging="360"/>
      </w:pPr>
      <w:rPr>
        <w:rFonts w:ascii="Symbol" w:hAnsi="Symbol" w:hint="default"/>
      </w:rPr>
    </w:lvl>
    <w:lvl w:ilvl="7" w:tplc="7F64A11E" w:tentative="1">
      <w:start w:val="1"/>
      <w:numFmt w:val="bullet"/>
      <w:lvlText w:val="o"/>
      <w:lvlJc w:val="left"/>
      <w:pPr>
        <w:ind w:left="5400" w:hanging="360"/>
      </w:pPr>
      <w:rPr>
        <w:rFonts w:ascii="Courier New" w:hAnsi="Courier New" w:cs="Courier New" w:hint="default"/>
      </w:rPr>
    </w:lvl>
    <w:lvl w:ilvl="8" w:tplc="907A3B58" w:tentative="1">
      <w:start w:val="1"/>
      <w:numFmt w:val="bullet"/>
      <w:lvlText w:val=""/>
      <w:lvlJc w:val="left"/>
      <w:pPr>
        <w:ind w:left="6120" w:hanging="360"/>
      </w:pPr>
      <w:rPr>
        <w:rFonts w:ascii="Wingdings" w:hAnsi="Wingdings" w:hint="default"/>
      </w:rPr>
    </w:lvl>
  </w:abstractNum>
  <w:abstractNum w:abstractNumId="1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FF1505C"/>
    <w:multiLevelType w:val="hybridMultilevel"/>
    <w:tmpl w:val="B05AE05C"/>
    <w:lvl w:ilvl="0" w:tplc="91A86E96">
      <w:start w:val="1"/>
      <w:numFmt w:val="bullet"/>
      <w:lvlText w:val=""/>
      <w:lvlJc w:val="left"/>
      <w:pPr>
        <w:ind w:left="720" w:hanging="360"/>
      </w:pPr>
      <w:rPr>
        <w:rFonts w:ascii="Symbol" w:hAnsi="Symbol" w:hint="default"/>
      </w:rPr>
    </w:lvl>
    <w:lvl w:ilvl="1" w:tplc="020CD156">
      <w:start w:val="1"/>
      <w:numFmt w:val="bullet"/>
      <w:lvlText w:val="o"/>
      <w:lvlJc w:val="left"/>
      <w:pPr>
        <w:ind w:left="502" w:hanging="360"/>
      </w:pPr>
      <w:rPr>
        <w:rFonts w:ascii="Courier New" w:hAnsi="Courier New" w:cs="Courier New" w:hint="default"/>
      </w:rPr>
    </w:lvl>
    <w:lvl w:ilvl="2" w:tplc="678AB440" w:tentative="1">
      <w:start w:val="1"/>
      <w:numFmt w:val="bullet"/>
      <w:lvlText w:val=""/>
      <w:lvlJc w:val="left"/>
      <w:pPr>
        <w:ind w:left="2160" w:hanging="360"/>
      </w:pPr>
      <w:rPr>
        <w:rFonts w:ascii="Wingdings" w:hAnsi="Wingdings" w:hint="default"/>
      </w:rPr>
    </w:lvl>
    <w:lvl w:ilvl="3" w:tplc="B01EF2FE" w:tentative="1">
      <w:start w:val="1"/>
      <w:numFmt w:val="bullet"/>
      <w:lvlText w:val=""/>
      <w:lvlJc w:val="left"/>
      <w:pPr>
        <w:ind w:left="2880" w:hanging="360"/>
      </w:pPr>
      <w:rPr>
        <w:rFonts w:ascii="Symbol" w:hAnsi="Symbol" w:hint="default"/>
      </w:rPr>
    </w:lvl>
    <w:lvl w:ilvl="4" w:tplc="9894D7E4" w:tentative="1">
      <w:start w:val="1"/>
      <w:numFmt w:val="bullet"/>
      <w:lvlText w:val="o"/>
      <w:lvlJc w:val="left"/>
      <w:pPr>
        <w:ind w:left="3600" w:hanging="360"/>
      </w:pPr>
      <w:rPr>
        <w:rFonts w:ascii="Courier New" w:hAnsi="Courier New" w:cs="Courier New" w:hint="default"/>
      </w:rPr>
    </w:lvl>
    <w:lvl w:ilvl="5" w:tplc="D7021048" w:tentative="1">
      <w:start w:val="1"/>
      <w:numFmt w:val="bullet"/>
      <w:lvlText w:val=""/>
      <w:lvlJc w:val="left"/>
      <w:pPr>
        <w:ind w:left="4320" w:hanging="360"/>
      </w:pPr>
      <w:rPr>
        <w:rFonts w:ascii="Wingdings" w:hAnsi="Wingdings" w:hint="default"/>
      </w:rPr>
    </w:lvl>
    <w:lvl w:ilvl="6" w:tplc="0A8AD0B2" w:tentative="1">
      <w:start w:val="1"/>
      <w:numFmt w:val="bullet"/>
      <w:lvlText w:val=""/>
      <w:lvlJc w:val="left"/>
      <w:pPr>
        <w:ind w:left="5040" w:hanging="360"/>
      </w:pPr>
      <w:rPr>
        <w:rFonts w:ascii="Symbol" w:hAnsi="Symbol" w:hint="default"/>
      </w:rPr>
    </w:lvl>
    <w:lvl w:ilvl="7" w:tplc="C074A72A" w:tentative="1">
      <w:start w:val="1"/>
      <w:numFmt w:val="bullet"/>
      <w:lvlText w:val="o"/>
      <w:lvlJc w:val="left"/>
      <w:pPr>
        <w:ind w:left="5760" w:hanging="360"/>
      </w:pPr>
      <w:rPr>
        <w:rFonts w:ascii="Courier New" w:hAnsi="Courier New" w:cs="Courier New" w:hint="default"/>
      </w:rPr>
    </w:lvl>
    <w:lvl w:ilvl="8" w:tplc="8F52ACF4" w:tentative="1">
      <w:start w:val="1"/>
      <w:numFmt w:val="bullet"/>
      <w:lvlText w:val=""/>
      <w:lvlJc w:val="left"/>
      <w:pPr>
        <w:ind w:left="6480" w:hanging="360"/>
      </w:pPr>
      <w:rPr>
        <w:rFonts w:ascii="Wingdings" w:hAnsi="Wingdings" w:hint="default"/>
      </w:rPr>
    </w:lvl>
  </w:abstractNum>
  <w:abstractNum w:abstractNumId="2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6D63B0D"/>
    <w:multiLevelType w:val="multilevel"/>
    <w:tmpl w:val="336AC5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258372196">
    <w:abstractNumId w:val="15"/>
  </w:num>
  <w:num w:numId="2" w16cid:durableId="475806608">
    <w:abstractNumId w:val="13"/>
  </w:num>
  <w:num w:numId="3" w16cid:durableId="304051205">
    <w:abstractNumId w:val="22"/>
  </w:num>
  <w:num w:numId="4" w16cid:durableId="2083943117">
    <w:abstractNumId w:val="8"/>
  </w:num>
  <w:num w:numId="5" w16cid:durableId="2039503965">
    <w:abstractNumId w:val="20"/>
  </w:num>
  <w:num w:numId="6" w16cid:durableId="362755587">
    <w:abstractNumId w:val="7"/>
  </w:num>
  <w:num w:numId="7" w16cid:durableId="1785223552">
    <w:abstractNumId w:val="6"/>
  </w:num>
  <w:num w:numId="8" w16cid:durableId="1850829093">
    <w:abstractNumId w:val="5"/>
  </w:num>
  <w:num w:numId="9" w16cid:durableId="1637757726">
    <w:abstractNumId w:val="4"/>
  </w:num>
  <w:num w:numId="10" w16cid:durableId="107166561">
    <w:abstractNumId w:val="3"/>
  </w:num>
  <w:num w:numId="11" w16cid:durableId="669021930">
    <w:abstractNumId w:val="2"/>
  </w:num>
  <w:num w:numId="12" w16cid:durableId="1033308519">
    <w:abstractNumId w:val="1"/>
  </w:num>
  <w:num w:numId="13" w16cid:durableId="816068678">
    <w:abstractNumId w:val="0"/>
  </w:num>
  <w:num w:numId="14" w16cid:durableId="1622495073">
    <w:abstractNumId w:val="9"/>
  </w:num>
  <w:num w:numId="15" w16cid:durableId="2114785889">
    <w:abstractNumId w:val="11"/>
  </w:num>
  <w:num w:numId="16" w16cid:durableId="1508401537">
    <w:abstractNumId w:val="17"/>
  </w:num>
  <w:num w:numId="17" w16cid:durableId="555556493">
    <w:abstractNumId w:val="19"/>
  </w:num>
  <w:num w:numId="18" w16cid:durableId="1323048022">
    <w:abstractNumId w:val="14"/>
  </w:num>
  <w:num w:numId="19" w16cid:durableId="529613291">
    <w:abstractNumId w:val="16"/>
  </w:num>
  <w:num w:numId="20" w16cid:durableId="1884899253">
    <w:abstractNumId w:val="12"/>
  </w:num>
  <w:num w:numId="21" w16cid:durableId="887835235">
    <w:abstractNumId w:val="21"/>
  </w:num>
  <w:num w:numId="22" w16cid:durableId="759838448">
    <w:abstractNumId w:val="23"/>
  </w:num>
  <w:num w:numId="23" w16cid:durableId="1252469757">
    <w:abstractNumId w:val="18"/>
  </w:num>
  <w:num w:numId="24" w16cid:durableId="1184788318">
    <w:abstractNumId w:val="10"/>
  </w:num>
  <w:num w:numId="25" w16cid:durableId="586160163">
    <w:abstractNumId w:val="9"/>
  </w:num>
  <w:num w:numId="26" w16cid:durableId="162831900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D5"/>
    <w:rsid w:val="00002875"/>
    <w:rsid w:val="00003033"/>
    <w:rsid w:val="0000348F"/>
    <w:rsid w:val="000048AC"/>
    <w:rsid w:val="000064FE"/>
    <w:rsid w:val="00007588"/>
    <w:rsid w:val="00012179"/>
    <w:rsid w:val="000140C9"/>
    <w:rsid w:val="00015349"/>
    <w:rsid w:val="000169CF"/>
    <w:rsid w:val="00020076"/>
    <w:rsid w:val="00031433"/>
    <w:rsid w:val="000321F2"/>
    <w:rsid w:val="000341CB"/>
    <w:rsid w:val="00037824"/>
    <w:rsid w:val="00043A54"/>
    <w:rsid w:val="00043E73"/>
    <w:rsid w:val="0004472A"/>
    <w:rsid w:val="00045567"/>
    <w:rsid w:val="00045A69"/>
    <w:rsid w:val="00046ADD"/>
    <w:rsid w:val="000472D2"/>
    <w:rsid w:val="000479CA"/>
    <w:rsid w:val="00050295"/>
    <w:rsid w:val="00051AF7"/>
    <w:rsid w:val="00053EE1"/>
    <w:rsid w:val="00055E11"/>
    <w:rsid w:val="00056A05"/>
    <w:rsid w:val="00056F6D"/>
    <w:rsid w:val="00062C02"/>
    <w:rsid w:val="00064D33"/>
    <w:rsid w:val="000665C7"/>
    <w:rsid w:val="000764DB"/>
    <w:rsid w:val="000765BD"/>
    <w:rsid w:val="000802A7"/>
    <w:rsid w:val="000804F9"/>
    <w:rsid w:val="000816BE"/>
    <w:rsid w:val="000831EA"/>
    <w:rsid w:val="00090115"/>
    <w:rsid w:val="00090185"/>
    <w:rsid w:val="00090448"/>
    <w:rsid w:val="0009399E"/>
    <w:rsid w:val="00094BEC"/>
    <w:rsid w:val="00096079"/>
    <w:rsid w:val="00096563"/>
    <w:rsid w:val="000972D2"/>
    <w:rsid w:val="000A2B22"/>
    <w:rsid w:val="000A3C7B"/>
    <w:rsid w:val="000A7519"/>
    <w:rsid w:val="000A7F97"/>
    <w:rsid w:val="000B1A79"/>
    <w:rsid w:val="000B1E1F"/>
    <w:rsid w:val="000B2515"/>
    <w:rsid w:val="000B2C2A"/>
    <w:rsid w:val="000B3458"/>
    <w:rsid w:val="000B3E18"/>
    <w:rsid w:val="000B4B07"/>
    <w:rsid w:val="000B7FB2"/>
    <w:rsid w:val="000C0B68"/>
    <w:rsid w:val="000C1E24"/>
    <w:rsid w:val="000C4AF1"/>
    <w:rsid w:val="000C5E83"/>
    <w:rsid w:val="000C5EBB"/>
    <w:rsid w:val="000C5FAF"/>
    <w:rsid w:val="000C617C"/>
    <w:rsid w:val="000D0CFC"/>
    <w:rsid w:val="000D2663"/>
    <w:rsid w:val="000D3643"/>
    <w:rsid w:val="000D3D8B"/>
    <w:rsid w:val="000D70C4"/>
    <w:rsid w:val="000D79C2"/>
    <w:rsid w:val="000E128C"/>
    <w:rsid w:val="000E181D"/>
    <w:rsid w:val="000E23A5"/>
    <w:rsid w:val="000E2619"/>
    <w:rsid w:val="000E2FB6"/>
    <w:rsid w:val="000E3E13"/>
    <w:rsid w:val="000E4E21"/>
    <w:rsid w:val="000E555C"/>
    <w:rsid w:val="000F1B1D"/>
    <w:rsid w:val="000F1EBE"/>
    <w:rsid w:val="000F2295"/>
    <w:rsid w:val="000F2BD8"/>
    <w:rsid w:val="000F3ABD"/>
    <w:rsid w:val="000F4DDC"/>
    <w:rsid w:val="000F5294"/>
    <w:rsid w:val="000F52AB"/>
    <w:rsid w:val="000F6235"/>
    <w:rsid w:val="000F67CE"/>
    <w:rsid w:val="000F7CBA"/>
    <w:rsid w:val="001008F7"/>
    <w:rsid w:val="00100B5B"/>
    <w:rsid w:val="00100F11"/>
    <w:rsid w:val="00102F07"/>
    <w:rsid w:val="001037B8"/>
    <w:rsid w:val="001116C4"/>
    <w:rsid w:val="00111A21"/>
    <w:rsid w:val="00112543"/>
    <w:rsid w:val="00112D5A"/>
    <w:rsid w:val="00120114"/>
    <w:rsid w:val="00120F5D"/>
    <w:rsid w:val="00122AD0"/>
    <w:rsid w:val="00122F74"/>
    <w:rsid w:val="0012507D"/>
    <w:rsid w:val="001257C6"/>
    <w:rsid w:val="00127554"/>
    <w:rsid w:val="00131413"/>
    <w:rsid w:val="00132120"/>
    <w:rsid w:val="00132EB2"/>
    <w:rsid w:val="00135FF2"/>
    <w:rsid w:val="00137542"/>
    <w:rsid w:val="00137F27"/>
    <w:rsid w:val="00143A56"/>
    <w:rsid w:val="00143BC0"/>
    <w:rsid w:val="001466AD"/>
    <w:rsid w:val="001471F0"/>
    <w:rsid w:val="0014745C"/>
    <w:rsid w:val="001476BA"/>
    <w:rsid w:val="00150440"/>
    <w:rsid w:val="00151FFD"/>
    <w:rsid w:val="00153F1A"/>
    <w:rsid w:val="001543C3"/>
    <w:rsid w:val="00154D6D"/>
    <w:rsid w:val="001552F8"/>
    <w:rsid w:val="00157358"/>
    <w:rsid w:val="001577C7"/>
    <w:rsid w:val="00157C3F"/>
    <w:rsid w:val="00161924"/>
    <w:rsid w:val="00163ACB"/>
    <w:rsid w:val="0016454E"/>
    <w:rsid w:val="00164E96"/>
    <w:rsid w:val="00165F81"/>
    <w:rsid w:val="0017237E"/>
    <w:rsid w:val="0017249E"/>
    <w:rsid w:val="00174DCE"/>
    <w:rsid w:val="001766C8"/>
    <w:rsid w:val="00176AEC"/>
    <w:rsid w:val="0018004C"/>
    <w:rsid w:val="00180310"/>
    <w:rsid w:val="001809CC"/>
    <w:rsid w:val="00180BCE"/>
    <w:rsid w:val="001818C1"/>
    <w:rsid w:val="0018310D"/>
    <w:rsid w:val="00185E34"/>
    <w:rsid w:val="0018645A"/>
    <w:rsid w:val="00191915"/>
    <w:rsid w:val="00192604"/>
    <w:rsid w:val="00196E03"/>
    <w:rsid w:val="001970A2"/>
    <w:rsid w:val="001A19E8"/>
    <w:rsid w:val="001A2419"/>
    <w:rsid w:val="001A2696"/>
    <w:rsid w:val="001A2A54"/>
    <w:rsid w:val="001A38DE"/>
    <w:rsid w:val="001A56DE"/>
    <w:rsid w:val="001A588D"/>
    <w:rsid w:val="001A7003"/>
    <w:rsid w:val="001B09DE"/>
    <w:rsid w:val="001B0B9D"/>
    <w:rsid w:val="001B222E"/>
    <w:rsid w:val="001B449E"/>
    <w:rsid w:val="001B51D1"/>
    <w:rsid w:val="001B6104"/>
    <w:rsid w:val="001B68F5"/>
    <w:rsid w:val="001C0122"/>
    <w:rsid w:val="001C09DE"/>
    <w:rsid w:val="001C1842"/>
    <w:rsid w:val="001C1ADB"/>
    <w:rsid w:val="001C1D42"/>
    <w:rsid w:val="001C3030"/>
    <w:rsid w:val="001C3F6A"/>
    <w:rsid w:val="001C4DB6"/>
    <w:rsid w:val="001C76BD"/>
    <w:rsid w:val="001D2A99"/>
    <w:rsid w:val="001D2F8D"/>
    <w:rsid w:val="001D34A9"/>
    <w:rsid w:val="001D34D9"/>
    <w:rsid w:val="001D5302"/>
    <w:rsid w:val="001D6B87"/>
    <w:rsid w:val="001E4B8C"/>
    <w:rsid w:val="001E58E5"/>
    <w:rsid w:val="001F16B0"/>
    <w:rsid w:val="001F190B"/>
    <w:rsid w:val="001F49FF"/>
    <w:rsid w:val="001F5A3A"/>
    <w:rsid w:val="00200894"/>
    <w:rsid w:val="0020353B"/>
    <w:rsid w:val="00203B46"/>
    <w:rsid w:val="00203DA7"/>
    <w:rsid w:val="00204C07"/>
    <w:rsid w:val="00205425"/>
    <w:rsid w:val="00205692"/>
    <w:rsid w:val="002057C4"/>
    <w:rsid w:val="002062AB"/>
    <w:rsid w:val="00211CAE"/>
    <w:rsid w:val="002139EC"/>
    <w:rsid w:val="002164CE"/>
    <w:rsid w:val="00216DF1"/>
    <w:rsid w:val="002177B4"/>
    <w:rsid w:val="002234AD"/>
    <w:rsid w:val="00224282"/>
    <w:rsid w:val="00224CCF"/>
    <w:rsid w:val="00226A36"/>
    <w:rsid w:val="00226D13"/>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504"/>
    <w:rsid w:val="00281BBD"/>
    <w:rsid w:val="00282032"/>
    <w:rsid w:val="002820D0"/>
    <w:rsid w:val="002858D3"/>
    <w:rsid w:val="002868E5"/>
    <w:rsid w:val="002875FC"/>
    <w:rsid w:val="00287D51"/>
    <w:rsid w:val="00294D8A"/>
    <w:rsid w:val="002969F0"/>
    <w:rsid w:val="002A4D3F"/>
    <w:rsid w:val="002B0481"/>
    <w:rsid w:val="002B4067"/>
    <w:rsid w:val="002B5503"/>
    <w:rsid w:val="002B6135"/>
    <w:rsid w:val="002C023C"/>
    <w:rsid w:val="002C1864"/>
    <w:rsid w:val="002C39DD"/>
    <w:rsid w:val="002C3F50"/>
    <w:rsid w:val="002D2009"/>
    <w:rsid w:val="002D28E7"/>
    <w:rsid w:val="002D462D"/>
    <w:rsid w:val="002D5D2B"/>
    <w:rsid w:val="002E1513"/>
    <w:rsid w:val="002E5247"/>
    <w:rsid w:val="002E662B"/>
    <w:rsid w:val="002E7D9A"/>
    <w:rsid w:val="002F06B5"/>
    <w:rsid w:val="002F3059"/>
    <w:rsid w:val="003006D9"/>
    <w:rsid w:val="00302698"/>
    <w:rsid w:val="0030399D"/>
    <w:rsid w:val="00303F92"/>
    <w:rsid w:val="00304E21"/>
    <w:rsid w:val="00306064"/>
    <w:rsid w:val="00307179"/>
    <w:rsid w:val="00310EB5"/>
    <w:rsid w:val="003116B6"/>
    <w:rsid w:val="00311944"/>
    <w:rsid w:val="00311A22"/>
    <w:rsid w:val="00311EE9"/>
    <w:rsid w:val="003128B3"/>
    <w:rsid w:val="00313BC4"/>
    <w:rsid w:val="00314ECB"/>
    <w:rsid w:val="003164D8"/>
    <w:rsid w:val="00316576"/>
    <w:rsid w:val="0032063B"/>
    <w:rsid w:val="00321245"/>
    <w:rsid w:val="00321408"/>
    <w:rsid w:val="00322490"/>
    <w:rsid w:val="00323FF4"/>
    <w:rsid w:val="00325F62"/>
    <w:rsid w:val="00326EAD"/>
    <w:rsid w:val="00331C29"/>
    <w:rsid w:val="003358A3"/>
    <w:rsid w:val="00344B9E"/>
    <w:rsid w:val="00344BDB"/>
    <w:rsid w:val="0034527B"/>
    <w:rsid w:val="00345D6E"/>
    <w:rsid w:val="00345F6D"/>
    <w:rsid w:val="003472A5"/>
    <w:rsid w:val="003476F9"/>
    <w:rsid w:val="0034776B"/>
    <w:rsid w:val="0035026D"/>
    <w:rsid w:val="00352B63"/>
    <w:rsid w:val="0035320C"/>
    <w:rsid w:val="0035366D"/>
    <w:rsid w:val="00353762"/>
    <w:rsid w:val="00353ABE"/>
    <w:rsid w:val="00353BB1"/>
    <w:rsid w:val="003614EF"/>
    <w:rsid w:val="003630AD"/>
    <w:rsid w:val="003650E6"/>
    <w:rsid w:val="00370F35"/>
    <w:rsid w:val="00373509"/>
    <w:rsid w:val="00374FE4"/>
    <w:rsid w:val="00375299"/>
    <w:rsid w:val="00376230"/>
    <w:rsid w:val="00377535"/>
    <w:rsid w:val="00377C33"/>
    <w:rsid w:val="00377DF6"/>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09"/>
    <w:rsid w:val="003C0E5D"/>
    <w:rsid w:val="003C20EE"/>
    <w:rsid w:val="003C370D"/>
    <w:rsid w:val="003C66BB"/>
    <w:rsid w:val="003C699C"/>
    <w:rsid w:val="003C7188"/>
    <w:rsid w:val="003D00D3"/>
    <w:rsid w:val="003D0258"/>
    <w:rsid w:val="003D0992"/>
    <w:rsid w:val="003D451C"/>
    <w:rsid w:val="003D452C"/>
    <w:rsid w:val="003D54DC"/>
    <w:rsid w:val="003D5E14"/>
    <w:rsid w:val="003D65DC"/>
    <w:rsid w:val="003D79DD"/>
    <w:rsid w:val="003E0263"/>
    <w:rsid w:val="003E0DB7"/>
    <w:rsid w:val="003E19F5"/>
    <w:rsid w:val="003E4849"/>
    <w:rsid w:val="003E49FE"/>
    <w:rsid w:val="003E5A39"/>
    <w:rsid w:val="003F078B"/>
    <w:rsid w:val="003F0B02"/>
    <w:rsid w:val="003F177F"/>
    <w:rsid w:val="003F223A"/>
    <w:rsid w:val="003F2557"/>
    <w:rsid w:val="003F409F"/>
    <w:rsid w:val="00400304"/>
    <w:rsid w:val="00400E98"/>
    <w:rsid w:val="00401ED0"/>
    <w:rsid w:val="00402048"/>
    <w:rsid w:val="004021FF"/>
    <w:rsid w:val="00406248"/>
    <w:rsid w:val="00406BE2"/>
    <w:rsid w:val="004100FC"/>
    <w:rsid w:val="00410EF7"/>
    <w:rsid w:val="00414D3E"/>
    <w:rsid w:val="00415432"/>
    <w:rsid w:val="00416561"/>
    <w:rsid w:val="00417F47"/>
    <w:rsid w:val="004203B7"/>
    <w:rsid w:val="0042097F"/>
    <w:rsid w:val="00425151"/>
    <w:rsid w:val="0042620F"/>
    <w:rsid w:val="0042778B"/>
    <w:rsid w:val="0043175B"/>
    <w:rsid w:val="004320F9"/>
    <w:rsid w:val="004326FC"/>
    <w:rsid w:val="00433837"/>
    <w:rsid w:val="00437635"/>
    <w:rsid w:val="00440CEC"/>
    <w:rsid w:val="004424E7"/>
    <w:rsid w:val="00443EDB"/>
    <w:rsid w:val="004441AD"/>
    <w:rsid w:val="0044779A"/>
    <w:rsid w:val="00450798"/>
    <w:rsid w:val="00453911"/>
    <w:rsid w:val="00453BB5"/>
    <w:rsid w:val="00455A03"/>
    <w:rsid w:val="00455B17"/>
    <w:rsid w:val="00455C4C"/>
    <w:rsid w:val="0045620B"/>
    <w:rsid w:val="00456C48"/>
    <w:rsid w:val="004572AE"/>
    <w:rsid w:val="00461590"/>
    <w:rsid w:val="00462F36"/>
    <w:rsid w:val="0046349D"/>
    <w:rsid w:val="0046357F"/>
    <w:rsid w:val="00463DB2"/>
    <w:rsid w:val="00463F6E"/>
    <w:rsid w:val="004643F1"/>
    <w:rsid w:val="0046479F"/>
    <w:rsid w:val="00464E72"/>
    <w:rsid w:val="00465149"/>
    <w:rsid w:val="00465948"/>
    <w:rsid w:val="004663BE"/>
    <w:rsid w:val="00470912"/>
    <w:rsid w:val="00471FF9"/>
    <w:rsid w:val="00472015"/>
    <w:rsid w:val="00472623"/>
    <w:rsid w:val="00472D3E"/>
    <w:rsid w:val="004758C7"/>
    <w:rsid w:val="00475AFE"/>
    <w:rsid w:val="00476AE4"/>
    <w:rsid w:val="00477F6A"/>
    <w:rsid w:val="0048366A"/>
    <w:rsid w:val="00483BBD"/>
    <w:rsid w:val="004863B6"/>
    <w:rsid w:val="004866C2"/>
    <w:rsid w:val="004903B0"/>
    <w:rsid w:val="00490CE4"/>
    <w:rsid w:val="00490EF4"/>
    <w:rsid w:val="004940B2"/>
    <w:rsid w:val="0049586B"/>
    <w:rsid w:val="00495C99"/>
    <w:rsid w:val="00495EF0"/>
    <w:rsid w:val="00497872"/>
    <w:rsid w:val="004A1419"/>
    <w:rsid w:val="004A2352"/>
    <w:rsid w:val="004A302C"/>
    <w:rsid w:val="004A4392"/>
    <w:rsid w:val="004A55D6"/>
    <w:rsid w:val="004A5BBE"/>
    <w:rsid w:val="004A6454"/>
    <w:rsid w:val="004A7AF8"/>
    <w:rsid w:val="004A7BFA"/>
    <w:rsid w:val="004B00B1"/>
    <w:rsid w:val="004B0769"/>
    <w:rsid w:val="004B32AA"/>
    <w:rsid w:val="004B3F26"/>
    <w:rsid w:val="004B5C53"/>
    <w:rsid w:val="004B5CE1"/>
    <w:rsid w:val="004B79BE"/>
    <w:rsid w:val="004C011E"/>
    <w:rsid w:val="004C057C"/>
    <w:rsid w:val="004C0620"/>
    <w:rsid w:val="004C134F"/>
    <w:rsid w:val="004C4225"/>
    <w:rsid w:val="004C6B62"/>
    <w:rsid w:val="004C74D5"/>
    <w:rsid w:val="004D1AF2"/>
    <w:rsid w:val="004D1BC1"/>
    <w:rsid w:val="004D1F0C"/>
    <w:rsid w:val="004D27E4"/>
    <w:rsid w:val="004D2B8F"/>
    <w:rsid w:val="004D3367"/>
    <w:rsid w:val="004D4392"/>
    <w:rsid w:val="004D6325"/>
    <w:rsid w:val="004D6A33"/>
    <w:rsid w:val="004D6C9B"/>
    <w:rsid w:val="004E07C1"/>
    <w:rsid w:val="004E0939"/>
    <w:rsid w:val="004E1A42"/>
    <w:rsid w:val="004E62E2"/>
    <w:rsid w:val="004E7309"/>
    <w:rsid w:val="004E77B3"/>
    <w:rsid w:val="004F35C8"/>
    <w:rsid w:val="004F42A2"/>
    <w:rsid w:val="004F49B0"/>
    <w:rsid w:val="004F6755"/>
    <w:rsid w:val="004F79EA"/>
    <w:rsid w:val="004F7B9C"/>
    <w:rsid w:val="004F7CFC"/>
    <w:rsid w:val="005029CF"/>
    <w:rsid w:val="00505BAC"/>
    <w:rsid w:val="005074AE"/>
    <w:rsid w:val="00507906"/>
    <w:rsid w:val="0051014F"/>
    <w:rsid w:val="00513343"/>
    <w:rsid w:val="005135BC"/>
    <w:rsid w:val="00513B0D"/>
    <w:rsid w:val="0051469E"/>
    <w:rsid w:val="0051492C"/>
    <w:rsid w:val="005149D1"/>
    <w:rsid w:val="005214F2"/>
    <w:rsid w:val="005231B2"/>
    <w:rsid w:val="00525529"/>
    <w:rsid w:val="00531009"/>
    <w:rsid w:val="005325C9"/>
    <w:rsid w:val="00534168"/>
    <w:rsid w:val="00534E8D"/>
    <w:rsid w:val="005352BB"/>
    <w:rsid w:val="0053684B"/>
    <w:rsid w:val="00537987"/>
    <w:rsid w:val="00537EDF"/>
    <w:rsid w:val="00542CF8"/>
    <w:rsid w:val="005445DF"/>
    <w:rsid w:val="00544AD5"/>
    <w:rsid w:val="00545E53"/>
    <w:rsid w:val="005479C6"/>
    <w:rsid w:val="00547DB0"/>
    <w:rsid w:val="005510B9"/>
    <w:rsid w:val="00551EBC"/>
    <w:rsid w:val="00551EF0"/>
    <w:rsid w:val="00552619"/>
    <w:rsid w:val="0055270E"/>
    <w:rsid w:val="00552EC5"/>
    <w:rsid w:val="00553651"/>
    <w:rsid w:val="00553729"/>
    <w:rsid w:val="00554552"/>
    <w:rsid w:val="005556D0"/>
    <w:rsid w:val="005569CB"/>
    <w:rsid w:val="00556D46"/>
    <w:rsid w:val="00557A84"/>
    <w:rsid w:val="00562186"/>
    <w:rsid w:val="00562770"/>
    <w:rsid w:val="005631EB"/>
    <w:rsid w:val="00563F73"/>
    <w:rsid w:val="00564274"/>
    <w:rsid w:val="005657C9"/>
    <w:rsid w:val="00565919"/>
    <w:rsid w:val="00565949"/>
    <w:rsid w:val="005664FC"/>
    <w:rsid w:val="00566831"/>
    <w:rsid w:val="00567DFD"/>
    <w:rsid w:val="005719C8"/>
    <w:rsid w:val="00571D95"/>
    <w:rsid w:val="0057216C"/>
    <w:rsid w:val="00572562"/>
    <w:rsid w:val="00574BC3"/>
    <w:rsid w:val="00574D38"/>
    <w:rsid w:val="00575202"/>
    <w:rsid w:val="00575ABD"/>
    <w:rsid w:val="005761FB"/>
    <w:rsid w:val="00580731"/>
    <w:rsid w:val="00582DF0"/>
    <w:rsid w:val="0058339C"/>
    <w:rsid w:val="0058390A"/>
    <w:rsid w:val="005864B6"/>
    <w:rsid w:val="00586CC6"/>
    <w:rsid w:val="00586D95"/>
    <w:rsid w:val="00586E3B"/>
    <w:rsid w:val="00587136"/>
    <w:rsid w:val="00590915"/>
    <w:rsid w:val="00590BF2"/>
    <w:rsid w:val="00590FC4"/>
    <w:rsid w:val="00591646"/>
    <w:rsid w:val="00593360"/>
    <w:rsid w:val="00594E8A"/>
    <w:rsid w:val="00595D34"/>
    <w:rsid w:val="00596ED5"/>
    <w:rsid w:val="00597C9F"/>
    <w:rsid w:val="005A003C"/>
    <w:rsid w:val="005A32A5"/>
    <w:rsid w:val="005A3B4B"/>
    <w:rsid w:val="005A5DEF"/>
    <w:rsid w:val="005B0142"/>
    <w:rsid w:val="005B1047"/>
    <w:rsid w:val="005B16BC"/>
    <w:rsid w:val="005B4408"/>
    <w:rsid w:val="005B555C"/>
    <w:rsid w:val="005B64BF"/>
    <w:rsid w:val="005B73DB"/>
    <w:rsid w:val="005B7C30"/>
    <w:rsid w:val="005C0408"/>
    <w:rsid w:val="005C4352"/>
    <w:rsid w:val="005C6D42"/>
    <w:rsid w:val="005D023B"/>
    <w:rsid w:val="005D0CCC"/>
    <w:rsid w:val="005D1863"/>
    <w:rsid w:val="005D195D"/>
    <w:rsid w:val="005D2297"/>
    <w:rsid w:val="005D41EE"/>
    <w:rsid w:val="005D4B60"/>
    <w:rsid w:val="005E09C2"/>
    <w:rsid w:val="005E47D8"/>
    <w:rsid w:val="005E490D"/>
    <w:rsid w:val="005E56D0"/>
    <w:rsid w:val="005E73B8"/>
    <w:rsid w:val="005E7C4C"/>
    <w:rsid w:val="005F0B8A"/>
    <w:rsid w:val="005F18B4"/>
    <w:rsid w:val="005F2001"/>
    <w:rsid w:val="005F2750"/>
    <w:rsid w:val="005F3AF3"/>
    <w:rsid w:val="005F4F49"/>
    <w:rsid w:val="005F56C1"/>
    <w:rsid w:val="005F6D7E"/>
    <w:rsid w:val="005F7407"/>
    <w:rsid w:val="00602990"/>
    <w:rsid w:val="006049B5"/>
    <w:rsid w:val="00604FAE"/>
    <w:rsid w:val="006056C3"/>
    <w:rsid w:val="0060574D"/>
    <w:rsid w:val="0060794C"/>
    <w:rsid w:val="006108C5"/>
    <w:rsid w:val="00611B82"/>
    <w:rsid w:val="0061330D"/>
    <w:rsid w:val="00613D81"/>
    <w:rsid w:val="00614A49"/>
    <w:rsid w:val="006151A0"/>
    <w:rsid w:val="00617431"/>
    <w:rsid w:val="006231F7"/>
    <w:rsid w:val="0062423B"/>
    <w:rsid w:val="00624995"/>
    <w:rsid w:val="00627A57"/>
    <w:rsid w:val="00633154"/>
    <w:rsid w:val="006331EB"/>
    <w:rsid w:val="006364AB"/>
    <w:rsid w:val="00637707"/>
    <w:rsid w:val="006424D5"/>
    <w:rsid w:val="0064406C"/>
    <w:rsid w:val="006446C1"/>
    <w:rsid w:val="006462B9"/>
    <w:rsid w:val="0065103F"/>
    <w:rsid w:val="00652FD4"/>
    <w:rsid w:val="00655BB4"/>
    <w:rsid w:val="006574E4"/>
    <w:rsid w:val="00657D64"/>
    <w:rsid w:val="0066022E"/>
    <w:rsid w:val="00660305"/>
    <w:rsid w:val="0066043E"/>
    <w:rsid w:val="00661EA4"/>
    <w:rsid w:val="00661EEC"/>
    <w:rsid w:val="00662660"/>
    <w:rsid w:val="00662AA6"/>
    <w:rsid w:val="00663793"/>
    <w:rsid w:val="006645F3"/>
    <w:rsid w:val="006654F5"/>
    <w:rsid w:val="00665862"/>
    <w:rsid w:val="006667E6"/>
    <w:rsid w:val="00667254"/>
    <w:rsid w:val="00667AD4"/>
    <w:rsid w:val="00671391"/>
    <w:rsid w:val="006745D2"/>
    <w:rsid w:val="006745E4"/>
    <w:rsid w:val="00676D6B"/>
    <w:rsid w:val="006770F3"/>
    <w:rsid w:val="00677404"/>
    <w:rsid w:val="00681955"/>
    <w:rsid w:val="006822BB"/>
    <w:rsid w:val="0068548A"/>
    <w:rsid w:val="00685981"/>
    <w:rsid w:val="00685EEC"/>
    <w:rsid w:val="006873F3"/>
    <w:rsid w:val="006929DA"/>
    <w:rsid w:val="006A0902"/>
    <w:rsid w:val="006A0F89"/>
    <w:rsid w:val="006A1558"/>
    <w:rsid w:val="006A2E6C"/>
    <w:rsid w:val="006A3B33"/>
    <w:rsid w:val="006A5645"/>
    <w:rsid w:val="006A58FC"/>
    <w:rsid w:val="006A660F"/>
    <w:rsid w:val="006A7513"/>
    <w:rsid w:val="006B15AA"/>
    <w:rsid w:val="006B29B6"/>
    <w:rsid w:val="006C08F5"/>
    <w:rsid w:val="006C09EB"/>
    <w:rsid w:val="006C0ADB"/>
    <w:rsid w:val="006C3198"/>
    <w:rsid w:val="006C4B08"/>
    <w:rsid w:val="006D0B97"/>
    <w:rsid w:val="006D1187"/>
    <w:rsid w:val="006D13CD"/>
    <w:rsid w:val="006D3B64"/>
    <w:rsid w:val="006D4846"/>
    <w:rsid w:val="006D609B"/>
    <w:rsid w:val="006D7C04"/>
    <w:rsid w:val="006E0250"/>
    <w:rsid w:val="006E2B3A"/>
    <w:rsid w:val="006E2D3F"/>
    <w:rsid w:val="006E666F"/>
    <w:rsid w:val="006E74A5"/>
    <w:rsid w:val="006F09B3"/>
    <w:rsid w:val="006F0DB9"/>
    <w:rsid w:val="006F1D38"/>
    <w:rsid w:val="006F4660"/>
    <w:rsid w:val="006F5F7C"/>
    <w:rsid w:val="006F6913"/>
    <w:rsid w:val="006F7CD4"/>
    <w:rsid w:val="0070059C"/>
    <w:rsid w:val="007043E7"/>
    <w:rsid w:val="00704D28"/>
    <w:rsid w:val="00704F6B"/>
    <w:rsid w:val="00705F47"/>
    <w:rsid w:val="007067BD"/>
    <w:rsid w:val="007105A0"/>
    <w:rsid w:val="007106BA"/>
    <w:rsid w:val="00712167"/>
    <w:rsid w:val="007125C7"/>
    <w:rsid w:val="00712B00"/>
    <w:rsid w:val="00714033"/>
    <w:rsid w:val="007213D4"/>
    <w:rsid w:val="007236A2"/>
    <w:rsid w:val="007264AD"/>
    <w:rsid w:val="00726882"/>
    <w:rsid w:val="00727A78"/>
    <w:rsid w:val="00731113"/>
    <w:rsid w:val="00731E45"/>
    <w:rsid w:val="00734CAB"/>
    <w:rsid w:val="00735A2F"/>
    <w:rsid w:val="00737755"/>
    <w:rsid w:val="007378DB"/>
    <w:rsid w:val="007416B9"/>
    <w:rsid w:val="00741ABD"/>
    <w:rsid w:val="007421DF"/>
    <w:rsid w:val="00742B13"/>
    <w:rsid w:val="00743141"/>
    <w:rsid w:val="00744402"/>
    <w:rsid w:val="00745F78"/>
    <w:rsid w:val="00746E83"/>
    <w:rsid w:val="00747299"/>
    <w:rsid w:val="00747D9D"/>
    <w:rsid w:val="00750510"/>
    <w:rsid w:val="00750540"/>
    <w:rsid w:val="00750A1E"/>
    <w:rsid w:val="00751364"/>
    <w:rsid w:val="0075494A"/>
    <w:rsid w:val="007551CB"/>
    <w:rsid w:val="007569D8"/>
    <w:rsid w:val="007576D8"/>
    <w:rsid w:val="00762EBE"/>
    <w:rsid w:val="00763FD2"/>
    <w:rsid w:val="007640F2"/>
    <w:rsid w:val="00765FF0"/>
    <w:rsid w:val="00766116"/>
    <w:rsid w:val="00766C8F"/>
    <w:rsid w:val="00766E33"/>
    <w:rsid w:val="00770609"/>
    <w:rsid w:val="007715C1"/>
    <w:rsid w:val="00771A67"/>
    <w:rsid w:val="0077312A"/>
    <w:rsid w:val="00773ED6"/>
    <w:rsid w:val="00774971"/>
    <w:rsid w:val="00777C89"/>
    <w:rsid w:val="00780A21"/>
    <w:rsid w:val="00787E4D"/>
    <w:rsid w:val="00791701"/>
    <w:rsid w:val="00792243"/>
    <w:rsid w:val="0079267C"/>
    <w:rsid w:val="007929A3"/>
    <w:rsid w:val="0079459A"/>
    <w:rsid w:val="00795283"/>
    <w:rsid w:val="00796885"/>
    <w:rsid w:val="007A2B85"/>
    <w:rsid w:val="007A453B"/>
    <w:rsid w:val="007A53C3"/>
    <w:rsid w:val="007A6DA9"/>
    <w:rsid w:val="007B0C46"/>
    <w:rsid w:val="007B1300"/>
    <w:rsid w:val="007B15DC"/>
    <w:rsid w:val="007B1C1E"/>
    <w:rsid w:val="007B25BA"/>
    <w:rsid w:val="007B38CB"/>
    <w:rsid w:val="007B38F5"/>
    <w:rsid w:val="007B38FF"/>
    <w:rsid w:val="007B3ED3"/>
    <w:rsid w:val="007B4CE7"/>
    <w:rsid w:val="007B6F9C"/>
    <w:rsid w:val="007B73CB"/>
    <w:rsid w:val="007C0F9B"/>
    <w:rsid w:val="007C2457"/>
    <w:rsid w:val="007C270A"/>
    <w:rsid w:val="007C31D3"/>
    <w:rsid w:val="007C3D29"/>
    <w:rsid w:val="007C4C90"/>
    <w:rsid w:val="007C6247"/>
    <w:rsid w:val="007C7C12"/>
    <w:rsid w:val="007D015C"/>
    <w:rsid w:val="007D093E"/>
    <w:rsid w:val="007D0A8E"/>
    <w:rsid w:val="007D12F8"/>
    <w:rsid w:val="007D2140"/>
    <w:rsid w:val="007D2CB5"/>
    <w:rsid w:val="007D3AAB"/>
    <w:rsid w:val="007D61EE"/>
    <w:rsid w:val="007D6F81"/>
    <w:rsid w:val="007E36FC"/>
    <w:rsid w:val="007E5385"/>
    <w:rsid w:val="007E5486"/>
    <w:rsid w:val="007E55D9"/>
    <w:rsid w:val="007E5F68"/>
    <w:rsid w:val="007E6054"/>
    <w:rsid w:val="007E7C62"/>
    <w:rsid w:val="007F05AC"/>
    <w:rsid w:val="007F0657"/>
    <w:rsid w:val="007F090A"/>
    <w:rsid w:val="007F1200"/>
    <w:rsid w:val="007F2101"/>
    <w:rsid w:val="007F35EF"/>
    <w:rsid w:val="007F6DDF"/>
    <w:rsid w:val="00802096"/>
    <w:rsid w:val="008021EB"/>
    <w:rsid w:val="00804931"/>
    <w:rsid w:val="00805004"/>
    <w:rsid w:val="00810ADF"/>
    <w:rsid w:val="0081192A"/>
    <w:rsid w:val="00812106"/>
    <w:rsid w:val="00815785"/>
    <w:rsid w:val="00820AD2"/>
    <w:rsid w:val="00821162"/>
    <w:rsid w:val="008226FF"/>
    <w:rsid w:val="008236B5"/>
    <w:rsid w:val="00824B3C"/>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133"/>
    <w:rsid w:val="00850EF9"/>
    <w:rsid w:val="00851231"/>
    <w:rsid w:val="0085128A"/>
    <w:rsid w:val="00851BA2"/>
    <w:rsid w:val="0085639E"/>
    <w:rsid w:val="008624B4"/>
    <w:rsid w:val="00873F49"/>
    <w:rsid w:val="00875DCA"/>
    <w:rsid w:val="008777EA"/>
    <w:rsid w:val="00877D93"/>
    <w:rsid w:val="00880B08"/>
    <w:rsid w:val="00880DB1"/>
    <w:rsid w:val="00881B0F"/>
    <w:rsid w:val="00887873"/>
    <w:rsid w:val="00887BD6"/>
    <w:rsid w:val="008914B6"/>
    <w:rsid w:val="00893245"/>
    <w:rsid w:val="008946B9"/>
    <w:rsid w:val="008957BD"/>
    <w:rsid w:val="00896537"/>
    <w:rsid w:val="008A1343"/>
    <w:rsid w:val="008A2D81"/>
    <w:rsid w:val="008A3DBC"/>
    <w:rsid w:val="008A446F"/>
    <w:rsid w:val="008A5EF3"/>
    <w:rsid w:val="008A74E8"/>
    <w:rsid w:val="008A7597"/>
    <w:rsid w:val="008B14DC"/>
    <w:rsid w:val="008B2C90"/>
    <w:rsid w:val="008B57D0"/>
    <w:rsid w:val="008B632E"/>
    <w:rsid w:val="008B7C8B"/>
    <w:rsid w:val="008C1302"/>
    <w:rsid w:val="008C213B"/>
    <w:rsid w:val="008C2941"/>
    <w:rsid w:val="008C5013"/>
    <w:rsid w:val="008D12DD"/>
    <w:rsid w:val="008D4C46"/>
    <w:rsid w:val="008D5142"/>
    <w:rsid w:val="008D522B"/>
    <w:rsid w:val="008D6A5D"/>
    <w:rsid w:val="008D78AB"/>
    <w:rsid w:val="008E21AB"/>
    <w:rsid w:val="008E3F29"/>
    <w:rsid w:val="008E6E68"/>
    <w:rsid w:val="008E6E6E"/>
    <w:rsid w:val="008F17EC"/>
    <w:rsid w:val="008F21FE"/>
    <w:rsid w:val="008F2478"/>
    <w:rsid w:val="008F28FC"/>
    <w:rsid w:val="008F514A"/>
    <w:rsid w:val="008F5A4B"/>
    <w:rsid w:val="00902DE6"/>
    <w:rsid w:val="00907F4F"/>
    <w:rsid w:val="009108C8"/>
    <w:rsid w:val="00911C58"/>
    <w:rsid w:val="00914E21"/>
    <w:rsid w:val="00915432"/>
    <w:rsid w:val="00916188"/>
    <w:rsid w:val="00916C14"/>
    <w:rsid w:val="0092099A"/>
    <w:rsid w:val="0092164A"/>
    <w:rsid w:val="00921A03"/>
    <w:rsid w:val="009243E4"/>
    <w:rsid w:val="009251B9"/>
    <w:rsid w:val="00926250"/>
    <w:rsid w:val="00930F22"/>
    <w:rsid w:val="00931A24"/>
    <w:rsid w:val="00931D8C"/>
    <w:rsid w:val="00933F6B"/>
    <w:rsid w:val="00934C83"/>
    <w:rsid w:val="00936465"/>
    <w:rsid w:val="00937430"/>
    <w:rsid w:val="00940433"/>
    <w:rsid w:val="009415D6"/>
    <w:rsid w:val="00943774"/>
    <w:rsid w:val="00947378"/>
    <w:rsid w:val="00950734"/>
    <w:rsid w:val="00950AD7"/>
    <w:rsid w:val="009513FE"/>
    <w:rsid w:val="00951A70"/>
    <w:rsid w:val="00951B07"/>
    <w:rsid w:val="009564B4"/>
    <w:rsid w:val="00957070"/>
    <w:rsid w:val="0096371C"/>
    <w:rsid w:val="00964C84"/>
    <w:rsid w:val="009665B5"/>
    <w:rsid w:val="00967015"/>
    <w:rsid w:val="00970CEF"/>
    <w:rsid w:val="00975A70"/>
    <w:rsid w:val="00976D08"/>
    <w:rsid w:val="009774FB"/>
    <w:rsid w:val="00977AE9"/>
    <w:rsid w:val="00980672"/>
    <w:rsid w:val="00981896"/>
    <w:rsid w:val="00982C0F"/>
    <w:rsid w:val="00986137"/>
    <w:rsid w:val="009870C2"/>
    <w:rsid w:val="0099108B"/>
    <w:rsid w:val="00994065"/>
    <w:rsid w:val="009944C7"/>
    <w:rsid w:val="00994500"/>
    <w:rsid w:val="00995831"/>
    <w:rsid w:val="0099591F"/>
    <w:rsid w:val="00996277"/>
    <w:rsid w:val="00996DA2"/>
    <w:rsid w:val="00997E41"/>
    <w:rsid w:val="00997E66"/>
    <w:rsid w:val="009A14DD"/>
    <w:rsid w:val="009A34CD"/>
    <w:rsid w:val="009A7089"/>
    <w:rsid w:val="009A7BEB"/>
    <w:rsid w:val="009B126E"/>
    <w:rsid w:val="009B3AC1"/>
    <w:rsid w:val="009B5E78"/>
    <w:rsid w:val="009B7499"/>
    <w:rsid w:val="009B7D8F"/>
    <w:rsid w:val="009C25FC"/>
    <w:rsid w:val="009C27E9"/>
    <w:rsid w:val="009C6A01"/>
    <w:rsid w:val="009C70B4"/>
    <w:rsid w:val="009D04C9"/>
    <w:rsid w:val="009D0A5E"/>
    <w:rsid w:val="009D0CAD"/>
    <w:rsid w:val="009D0E17"/>
    <w:rsid w:val="009D0F0B"/>
    <w:rsid w:val="009D1B9D"/>
    <w:rsid w:val="009D3BB7"/>
    <w:rsid w:val="009D5E47"/>
    <w:rsid w:val="009E01BC"/>
    <w:rsid w:val="009E0E11"/>
    <w:rsid w:val="009E2BDA"/>
    <w:rsid w:val="009E4CC4"/>
    <w:rsid w:val="009F2C76"/>
    <w:rsid w:val="009F2DFF"/>
    <w:rsid w:val="009F52F6"/>
    <w:rsid w:val="009F6CDB"/>
    <w:rsid w:val="009F7472"/>
    <w:rsid w:val="00A005C4"/>
    <w:rsid w:val="00A01ABD"/>
    <w:rsid w:val="00A05B7C"/>
    <w:rsid w:val="00A0644B"/>
    <w:rsid w:val="00A067CE"/>
    <w:rsid w:val="00A0746A"/>
    <w:rsid w:val="00A105F0"/>
    <w:rsid w:val="00A10DFC"/>
    <w:rsid w:val="00A11952"/>
    <w:rsid w:val="00A142B2"/>
    <w:rsid w:val="00A15B2A"/>
    <w:rsid w:val="00A16783"/>
    <w:rsid w:val="00A174F7"/>
    <w:rsid w:val="00A17F16"/>
    <w:rsid w:val="00A203C2"/>
    <w:rsid w:val="00A22B4D"/>
    <w:rsid w:val="00A25A11"/>
    <w:rsid w:val="00A25B45"/>
    <w:rsid w:val="00A27002"/>
    <w:rsid w:val="00A27839"/>
    <w:rsid w:val="00A307B6"/>
    <w:rsid w:val="00A31C39"/>
    <w:rsid w:val="00A33D6B"/>
    <w:rsid w:val="00A34B97"/>
    <w:rsid w:val="00A3570E"/>
    <w:rsid w:val="00A41FE8"/>
    <w:rsid w:val="00A4253B"/>
    <w:rsid w:val="00A42790"/>
    <w:rsid w:val="00A430FA"/>
    <w:rsid w:val="00A438C9"/>
    <w:rsid w:val="00A44CD3"/>
    <w:rsid w:val="00A44E17"/>
    <w:rsid w:val="00A529B8"/>
    <w:rsid w:val="00A558EF"/>
    <w:rsid w:val="00A573C9"/>
    <w:rsid w:val="00A611E3"/>
    <w:rsid w:val="00A611FA"/>
    <w:rsid w:val="00A624D7"/>
    <w:rsid w:val="00A625AA"/>
    <w:rsid w:val="00A62998"/>
    <w:rsid w:val="00A62C6D"/>
    <w:rsid w:val="00A63268"/>
    <w:rsid w:val="00A647F7"/>
    <w:rsid w:val="00A64AE3"/>
    <w:rsid w:val="00A657D2"/>
    <w:rsid w:val="00A66F32"/>
    <w:rsid w:val="00A67D9D"/>
    <w:rsid w:val="00A7070F"/>
    <w:rsid w:val="00A746CA"/>
    <w:rsid w:val="00A75695"/>
    <w:rsid w:val="00A758F3"/>
    <w:rsid w:val="00A7597B"/>
    <w:rsid w:val="00A75ADF"/>
    <w:rsid w:val="00A75C8C"/>
    <w:rsid w:val="00A76630"/>
    <w:rsid w:val="00A77515"/>
    <w:rsid w:val="00A77817"/>
    <w:rsid w:val="00A8080A"/>
    <w:rsid w:val="00A81676"/>
    <w:rsid w:val="00A8361F"/>
    <w:rsid w:val="00A859B9"/>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675C"/>
    <w:rsid w:val="00AB7F7F"/>
    <w:rsid w:val="00AC0161"/>
    <w:rsid w:val="00AC0E00"/>
    <w:rsid w:val="00AC28AB"/>
    <w:rsid w:val="00AC43C6"/>
    <w:rsid w:val="00AC6AB2"/>
    <w:rsid w:val="00AC7942"/>
    <w:rsid w:val="00AD0D2D"/>
    <w:rsid w:val="00AD1C48"/>
    <w:rsid w:val="00AD20C6"/>
    <w:rsid w:val="00AD2654"/>
    <w:rsid w:val="00AD37A8"/>
    <w:rsid w:val="00AD3985"/>
    <w:rsid w:val="00AD4335"/>
    <w:rsid w:val="00AD712A"/>
    <w:rsid w:val="00AD7C72"/>
    <w:rsid w:val="00AE0D52"/>
    <w:rsid w:val="00AE61EA"/>
    <w:rsid w:val="00AE6651"/>
    <w:rsid w:val="00AE7E26"/>
    <w:rsid w:val="00AF206C"/>
    <w:rsid w:val="00AF229B"/>
    <w:rsid w:val="00AF26A3"/>
    <w:rsid w:val="00AF6389"/>
    <w:rsid w:val="00AF7A49"/>
    <w:rsid w:val="00B00E7B"/>
    <w:rsid w:val="00B04C57"/>
    <w:rsid w:val="00B12EBA"/>
    <w:rsid w:val="00B142DE"/>
    <w:rsid w:val="00B160FF"/>
    <w:rsid w:val="00B17146"/>
    <w:rsid w:val="00B173B2"/>
    <w:rsid w:val="00B20C96"/>
    <w:rsid w:val="00B215E7"/>
    <w:rsid w:val="00B2208D"/>
    <w:rsid w:val="00B2425C"/>
    <w:rsid w:val="00B24B12"/>
    <w:rsid w:val="00B268B1"/>
    <w:rsid w:val="00B26FEB"/>
    <w:rsid w:val="00B27011"/>
    <w:rsid w:val="00B30E07"/>
    <w:rsid w:val="00B326AA"/>
    <w:rsid w:val="00B34E7A"/>
    <w:rsid w:val="00B35832"/>
    <w:rsid w:val="00B3599E"/>
    <w:rsid w:val="00B362D3"/>
    <w:rsid w:val="00B41349"/>
    <w:rsid w:val="00B42DB0"/>
    <w:rsid w:val="00B4456B"/>
    <w:rsid w:val="00B46483"/>
    <w:rsid w:val="00B46699"/>
    <w:rsid w:val="00B468CE"/>
    <w:rsid w:val="00B50363"/>
    <w:rsid w:val="00B547EA"/>
    <w:rsid w:val="00B565C2"/>
    <w:rsid w:val="00B572C8"/>
    <w:rsid w:val="00B60199"/>
    <w:rsid w:val="00B62332"/>
    <w:rsid w:val="00B62E35"/>
    <w:rsid w:val="00B63AA3"/>
    <w:rsid w:val="00B63B49"/>
    <w:rsid w:val="00B645D2"/>
    <w:rsid w:val="00B65CE4"/>
    <w:rsid w:val="00B67352"/>
    <w:rsid w:val="00B6742A"/>
    <w:rsid w:val="00B71176"/>
    <w:rsid w:val="00B71B92"/>
    <w:rsid w:val="00B73395"/>
    <w:rsid w:val="00B754CE"/>
    <w:rsid w:val="00B75E28"/>
    <w:rsid w:val="00B7736E"/>
    <w:rsid w:val="00B802FC"/>
    <w:rsid w:val="00B80922"/>
    <w:rsid w:val="00B80DD6"/>
    <w:rsid w:val="00B81F30"/>
    <w:rsid w:val="00B860F8"/>
    <w:rsid w:val="00B91FB0"/>
    <w:rsid w:val="00B920A4"/>
    <w:rsid w:val="00B928C7"/>
    <w:rsid w:val="00B92EC1"/>
    <w:rsid w:val="00B97E47"/>
    <w:rsid w:val="00BA0828"/>
    <w:rsid w:val="00BA2D30"/>
    <w:rsid w:val="00BA3529"/>
    <w:rsid w:val="00BA378A"/>
    <w:rsid w:val="00BA3C7C"/>
    <w:rsid w:val="00BB0CE0"/>
    <w:rsid w:val="00BB22FF"/>
    <w:rsid w:val="00BB4056"/>
    <w:rsid w:val="00BB53A0"/>
    <w:rsid w:val="00BB697C"/>
    <w:rsid w:val="00BB7BE3"/>
    <w:rsid w:val="00BC1F27"/>
    <w:rsid w:val="00BC21D0"/>
    <w:rsid w:val="00BC2FCA"/>
    <w:rsid w:val="00BC380B"/>
    <w:rsid w:val="00BC3D0D"/>
    <w:rsid w:val="00BC40EE"/>
    <w:rsid w:val="00BC41A0"/>
    <w:rsid w:val="00BC4258"/>
    <w:rsid w:val="00BC53CB"/>
    <w:rsid w:val="00BC5B85"/>
    <w:rsid w:val="00BC7D6E"/>
    <w:rsid w:val="00BD1C3D"/>
    <w:rsid w:val="00BD3CDC"/>
    <w:rsid w:val="00BD4B82"/>
    <w:rsid w:val="00BD5430"/>
    <w:rsid w:val="00BE03CD"/>
    <w:rsid w:val="00BE1D35"/>
    <w:rsid w:val="00BE2264"/>
    <w:rsid w:val="00BE2339"/>
    <w:rsid w:val="00BE385C"/>
    <w:rsid w:val="00BE724E"/>
    <w:rsid w:val="00BF06B3"/>
    <w:rsid w:val="00BF13F0"/>
    <w:rsid w:val="00BF1B4C"/>
    <w:rsid w:val="00BF3769"/>
    <w:rsid w:val="00BF4FF1"/>
    <w:rsid w:val="00BF64A2"/>
    <w:rsid w:val="00BF7BCD"/>
    <w:rsid w:val="00C006DC"/>
    <w:rsid w:val="00C04A0F"/>
    <w:rsid w:val="00C05358"/>
    <w:rsid w:val="00C05517"/>
    <w:rsid w:val="00C06CD9"/>
    <w:rsid w:val="00C07701"/>
    <w:rsid w:val="00C07894"/>
    <w:rsid w:val="00C108B4"/>
    <w:rsid w:val="00C1228B"/>
    <w:rsid w:val="00C13988"/>
    <w:rsid w:val="00C16A88"/>
    <w:rsid w:val="00C17189"/>
    <w:rsid w:val="00C179CB"/>
    <w:rsid w:val="00C22D3D"/>
    <w:rsid w:val="00C241BE"/>
    <w:rsid w:val="00C24EE4"/>
    <w:rsid w:val="00C321DA"/>
    <w:rsid w:val="00C366DD"/>
    <w:rsid w:val="00C37F59"/>
    <w:rsid w:val="00C4186F"/>
    <w:rsid w:val="00C41C90"/>
    <w:rsid w:val="00C41D78"/>
    <w:rsid w:val="00C42DB7"/>
    <w:rsid w:val="00C43D67"/>
    <w:rsid w:val="00C441A4"/>
    <w:rsid w:val="00C44A85"/>
    <w:rsid w:val="00C44B79"/>
    <w:rsid w:val="00C46458"/>
    <w:rsid w:val="00C46843"/>
    <w:rsid w:val="00C46C39"/>
    <w:rsid w:val="00C5248F"/>
    <w:rsid w:val="00C525DE"/>
    <w:rsid w:val="00C54449"/>
    <w:rsid w:val="00C545F6"/>
    <w:rsid w:val="00C55E52"/>
    <w:rsid w:val="00C56AF8"/>
    <w:rsid w:val="00C61E5B"/>
    <w:rsid w:val="00C62212"/>
    <w:rsid w:val="00C62857"/>
    <w:rsid w:val="00C66186"/>
    <w:rsid w:val="00C66304"/>
    <w:rsid w:val="00C746FE"/>
    <w:rsid w:val="00C751A5"/>
    <w:rsid w:val="00C771FD"/>
    <w:rsid w:val="00C776FE"/>
    <w:rsid w:val="00C7786C"/>
    <w:rsid w:val="00C810B8"/>
    <w:rsid w:val="00C81E73"/>
    <w:rsid w:val="00C823CB"/>
    <w:rsid w:val="00C824B2"/>
    <w:rsid w:val="00C833B5"/>
    <w:rsid w:val="00C83645"/>
    <w:rsid w:val="00C870F3"/>
    <w:rsid w:val="00C90C40"/>
    <w:rsid w:val="00C9289B"/>
    <w:rsid w:val="00C92BAD"/>
    <w:rsid w:val="00C92CBF"/>
    <w:rsid w:val="00C94A96"/>
    <w:rsid w:val="00C95680"/>
    <w:rsid w:val="00C96097"/>
    <w:rsid w:val="00C97920"/>
    <w:rsid w:val="00C97F14"/>
    <w:rsid w:val="00CA03F7"/>
    <w:rsid w:val="00CA0F21"/>
    <w:rsid w:val="00CA24A9"/>
    <w:rsid w:val="00CA2872"/>
    <w:rsid w:val="00CA2A73"/>
    <w:rsid w:val="00CA2C44"/>
    <w:rsid w:val="00CA2E72"/>
    <w:rsid w:val="00CA3BEF"/>
    <w:rsid w:val="00CA50C7"/>
    <w:rsid w:val="00CB083F"/>
    <w:rsid w:val="00CB144D"/>
    <w:rsid w:val="00CB6181"/>
    <w:rsid w:val="00CB6E29"/>
    <w:rsid w:val="00CB79BA"/>
    <w:rsid w:val="00CB7D18"/>
    <w:rsid w:val="00CC1602"/>
    <w:rsid w:val="00CC18ED"/>
    <w:rsid w:val="00CC19DF"/>
    <w:rsid w:val="00CC4FF0"/>
    <w:rsid w:val="00CC6438"/>
    <w:rsid w:val="00CC6C9A"/>
    <w:rsid w:val="00CC768F"/>
    <w:rsid w:val="00CD29A7"/>
    <w:rsid w:val="00CD3B29"/>
    <w:rsid w:val="00CD3EF8"/>
    <w:rsid w:val="00CD42CD"/>
    <w:rsid w:val="00CD533A"/>
    <w:rsid w:val="00CD61D8"/>
    <w:rsid w:val="00CD61E1"/>
    <w:rsid w:val="00CD70CE"/>
    <w:rsid w:val="00CD711F"/>
    <w:rsid w:val="00CD7D35"/>
    <w:rsid w:val="00CE09C8"/>
    <w:rsid w:val="00CE0C94"/>
    <w:rsid w:val="00CE0ED4"/>
    <w:rsid w:val="00CE4BEB"/>
    <w:rsid w:val="00CE7739"/>
    <w:rsid w:val="00CF0FAC"/>
    <w:rsid w:val="00CF1C65"/>
    <w:rsid w:val="00CF3035"/>
    <w:rsid w:val="00CF34AA"/>
    <w:rsid w:val="00CF48DF"/>
    <w:rsid w:val="00CF4AFC"/>
    <w:rsid w:val="00CF6063"/>
    <w:rsid w:val="00CF6FE0"/>
    <w:rsid w:val="00CF7051"/>
    <w:rsid w:val="00CF7B7F"/>
    <w:rsid w:val="00CF7CDC"/>
    <w:rsid w:val="00D01296"/>
    <w:rsid w:val="00D0451B"/>
    <w:rsid w:val="00D0487B"/>
    <w:rsid w:val="00D061B3"/>
    <w:rsid w:val="00D06FFF"/>
    <w:rsid w:val="00D071AB"/>
    <w:rsid w:val="00D07BF4"/>
    <w:rsid w:val="00D10385"/>
    <w:rsid w:val="00D10FE2"/>
    <w:rsid w:val="00D1100B"/>
    <w:rsid w:val="00D11E2A"/>
    <w:rsid w:val="00D12BF7"/>
    <w:rsid w:val="00D13F6F"/>
    <w:rsid w:val="00D15326"/>
    <w:rsid w:val="00D15A49"/>
    <w:rsid w:val="00D17849"/>
    <w:rsid w:val="00D20E8C"/>
    <w:rsid w:val="00D21065"/>
    <w:rsid w:val="00D233DC"/>
    <w:rsid w:val="00D235D4"/>
    <w:rsid w:val="00D24CD3"/>
    <w:rsid w:val="00D253D1"/>
    <w:rsid w:val="00D265E7"/>
    <w:rsid w:val="00D27E1C"/>
    <w:rsid w:val="00D303A2"/>
    <w:rsid w:val="00D31516"/>
    <w:rsid w:val="00D32C35"/>
    <w:rsid w:val="00D37493"/>
    <w:rsid w:val="00D4274D"/>
    <w:rsid w:val="00D42F89"/>
    <w:rsid w:val="00D45732"/>
    <w:rsid w:val="00D474F7"/>
    <w:rsid w:val="00D52225"/>
    <w:rsid w:val="00D53CF2"/>
    <w:rsid w:val="00D5482A"/>
    <w:rsid w:val="00D55D0B"/>
    <w:rsid w:val="00D62654"/>
    <w:rsid w:val="00D65FA1"/>
    <w:rsid w:val="00D66C78"/>
    <w:rsid w:val="00D70675"/>
    <w:rsid w:val="00D75587"/>
    <w:rsid w:val="00D8448F"/>
    <w:rsid w:val="00D869A4"/>
    <w:rsid w:val="00D87BFA"/>
    <w:rsid w:val="00D87CD9"/>
    <w:rsid w:val="00D90D28"/>
    <w:rsid w:val="00D916C6"/>
    <w:rsid w:val="00D91BE3"/>
    <w:rsid w:val="00D92EFA"/>
    <w:rsid w:val="00D93C41"/>
    <w:rsid w:val="00D958FF"/>
    <w:rsid w:val="00DA11F3"/>
    <w:rsid w:val="00DA1BC8"/>
    <w:rsid w:val="00DA2865"/>
    <w:rsid w:val="00DA4F63"/>
    <w:rsid w:val="00DA52BD"/>
    <w:rsid w:val="00DA7236"/>
    <w:rsid w:val="00DA7F3C"/>
    <w:rsid w:val="00DB0323"/>
    <w:rsid w:val="00DB3B70"/>
    <w:rsid w:val="00DB3CA1"/>
    <w:rsid w:val="00DB4995"/>
    <w:rsid w:val="00DB4D89"/>
    <w:rsid w:val="00DB63DD"/>
    <w:rsid w:val="00DB6DC8"/>
    <w:rsid w:val="00DC0F03"/>
    <w:rsid w:val="00DC35B6"/>
    <w:rsid w:val="00DC4C84"/>
    <w:rsid w:val="00DC4E3A"/>
    <w:rsid w:val="00DC7E92"/>
    <w:rsid w:val="00DD0C9D"/>
    <w:rsid w:val="00DD1F30"/>
    <w:rsid w:val="00DD37D3"/>
    <w:rsid w:val="00DD3AC0"/>
    <w:rsid w:val="00DD3D77"/>
    <w:rsid w:val="00DD646D"/>
    <w:rsid w:val="00DE1C10"/>
    <w:rsid w:val="00DE1C47"/>
    <w:rsid w:val="00DE2AD5"/>
    <w:rsid w:val="00DE3A3E"/>
    <w:rsid w:val="00DE3A82"/>
    <w:rsid w:val="00DE54DC"/>
    <w:rsid w:val="00DE5AF3"/>
    <w:rsid w:val="00DE5B5A"/>
    <w:rsid w:val="00DF0303"/>
    <w:rsid w:val="00DF17DF"/>
    <w:rsid w:val="00DF1C68"/>
    <w:rsid w:val="00DF2B46"/>
    <w:rsid w:val="00DF320D"/>
    <w:rsid w:val="00DF4236"/>
    <w:rsid w:val="00DF5031"/>
    <w:rsid w:val="00DF75E6"/>
    <w:rsid w:val="00DF7B03"/>
    <w:rsid w:val="00DF7D4C"/>
    <w:rsid w:val="00E008F6"/>
    <w:rsid w:val="00E010D1"/>
    <w:rsid w:val="00E02938"/>
    <w:rsid w:val="00E0450D"/>
    <w:rsid w:val="00E060FF"/>
    <w:rsid w:val="00E07E75"/>
    <w:rsid w:val="00E10F8A"/>
    <w:rsid w:val="00E1188E"/>
    <w:rsid w:val="00E11956"/>
    <w:rsid w:val="00E1200E"/>
    <w:rsid w:val="00E124F4"/>
    <w:rsid w:val="00E1422A"/>
    <w:rsid w:val="00E14B9F"/>
    <w:rsid w:val="00E155B0"/>
    <w:rsid w:val="00E16FBE"/>
    <w:rsid w:val="00E17318"/>
    <w:rsid w:val="00E20349"/>
    <w:rsid w:val="00E20E47"/>
    <w:rsid w:val="00E22C2A"/>
    <w:rsid w:val="00E25DEF"/>
    <w:rsid w:val="00E26323"/>
    <w:rsid w:val="00E304BB"/>
    <w:rsid w:val="00E33C7B"/>
    <w:rsid w:val="00E357F7"/>
    <w:rsid w:val="00E35A6E"/>
    <w:rsid w:val="00E3606A"/>
    <w:rsid w:val="00E42104"/>
    <w:rsid w:val="00E428C1"/>
    <w:rsid w:val="00E44C6B"/>
    <w:rsid w:val="00E45190"/>
    <w:rsid w:val="00E46114"/>
    <w:rsid w:val="00E470C8"/>
    <w:rsid w:val="00E523F7"/>
    <w:rsid w:val="00E538EB"/>
    <w:rsid w:val="00E5517E"/>
    <w:rsid w:val="00E5568F"/>
    <w:rsid w:val="00E578DA"/>
    <w:rsid w:val="00E631BE"/>
    <w:rsid w:val="00E646B1"/>
    <w:rsid w:val="00E64CB8"/>
    <w:rsid w:val="00E665B1"/>
    <w:rsid w:val="00E67558"/>
    <w:rsid w:val="00E67F7D"/>
    <w:rsid w:val="00E70F12"/>
    <w:rsid w:val="00E71051"/>
    <w:rsid w:val="00E71EA0"/>
    <w:rsid w:val="00E73D92"/>
    <w:rsid w:val="00E73FE0"/>
    <w:rsid w:val="00E75A45"/>
    <w:rsid w:val="00E772EB"/>
    <w:rsid w:val="00E77EB9"/>
    <w:rsid w:val="00E81E3C"/>
    <w:rsid w:val="00E82378"/>
    <w:rsid w:val="00E82E7F"/>
    <w:rsid w:val="00E84572"/>
    <w:rsid w:val="00E848B9"/>
    <w:rsid w:val="00E850A0"/>
    <w:rsid w:val="00E8580E"/>
    <w:rsid w:val="00E862AD"/>
    <w:rsid w:val="00E8648D"/>
    <w:rsid w:val="00E91867"/>
    <w:rsid w:val="00E92F1D"/>
    <w:rsid w:val="00E95383"/>
    <w:rsid w:val="00E95524"/>
    <w:rsid w:val="00E95EF6"/>
    <w:rsid w:val="00E96BAB"/>
    <w:rsid w:val="00E96C8D"/>
    <w:rsid w:val="00E96F07"/>
    <w:rsid w:val="00E97304"/>
    <w:rsid w:val="00EA06FF"/>
    <w:rsid w:val="00EA1DE4"/>
    <w:rsid w:val="00EA78EA"/>
    <w:rsid w:val="00EA7D32"/>
    <w:rsid w:val="00EB0D93"/>
    <w:rsid w:val="00EB396A"/>
    <w:rsid w:val="00EB46FB"/>
    <w:rsid w:val="00EB4CDB"/>
    <w:rsid w:val="00EB5C78"/>
    <w:rsid w:val="00EB6D62"/>
    <w:rsid w:val="00EB73A8"/>
    <w:rsid w:val="00EC09D7"/>
    <w:rsid w:val="00ED1AFF"/>
    <w:rsid w:val="00ED2B6D"/>
    <w:rsid w:val="00ED50B6"/>
    <w:rsid w:val="00ED77F3"/>
    <w:rsid w:val="00ED7AEF"/>
    <w:rsid w:val="00ED7D4D"/>
    <w:rsid w:val="00EE35D8"/>
    <w:rsid w:val="00EE521D"/>
    <w:rsid w:val="00EE772F"/>
    <w:rsid w:val="00EE778C"/>
    <w:rsid w:val="00EF0AF3"/>
    <w:rsid w:val="00EF4904"/>
    <w:rsid w:val="00EF53B5"/>
    <w:rsid w:val="00F005CC"/>
    <w:rsid w:val="00F020FC"/>
    <w:rsid w:val="00F029E7"/>
    <w:rsid w:val="00F02B8C"/>
    <w:rsid w:val="00F036AC"/>
    <w:rsid w:val="00F0479C"/>
    <w:rsid w:val="00F04D92"/>
    <w:rsid w:val="00F110F5"/>
    <w:rsid w:val="00F1123E"/>
    <w:rsid w:val="00F12972"/>
    <w:rsid w:val="00F13606"/>
    <w:rsid w:val="00F14873"/>
    <w:rsid w:val="00F14933"/>
    <w:rsid w:val="00F150D7"/>
    <w:rsid w:val="00F15F0F"/>
    <w:rsid w:val="00F17743"/>
    <w:rsid w:val="00F17998"/>
    <w:rsid w:val="00F17CDF"/>
    <w:rsid w:val="00F218C3"/>
    <w:rsid w:val="00F226F4"/>
    <w:rsid w:val="00F246F4"/>
    <w:rsid w:val="00F24744"/>
    <w:rsid w:val="00F249EA"/>
    <w:rsid w:val="00F257BA"/>
    <w:rsid w:val="00F26F3C"/>
    <w:rsid w:val="00F30506"/>
    <w:rsid w:val="00F30FAD"/>
    <w:rsid w:val="00F32331"/>
    <w:rsid w:val="00F328FE"/>
    <w:rsid w:val="00F34282"/>
    <w:rsid w:val="00F3507A"/>
    <w:rsid w:val="00F35C36"/>
    <w:rsid w:val="00F36324"/>
    <w:rsid w:val="00F41CC8"/>
    <w:rsid w:val="00F4212C"/>
    <w:rsid w:val="00F42CF1"/>
    <w:rsid w:val="00F43242"/>
    <w:rsid w:val="00F4341F"/>
    <w:rsid w:val="00F46B63"/>
    <w:rsid w:val="00F470C6"/>
    <w:rsid w:val="00F50373"/>
    <w:rsid w:val="00F50C1E"/>
    <w:rsid w:val="00F52237"/>
    <w:rsid w:val="00F5260A"/>
    <w:rsid w:val="00F553A8"/>
    <w:rsid w:val="00F607BC"/>
    <w:rsid w:val="00F61FE8"/>
    <w:rsid w:val="00F61FF6"/>
    <w:rsid w:val="00F62CBC"/>
    <w:rsid w:val="00F670C0"/>
    <w:rsid w:val="00F67461"/>
    <w:rsid w:val="00F67F70"/>
    <w:rsid w:val="00F705D1"/>
    <w:rsid w:val="00F74061"/>
    <w:rsid w:val="00F7742A"/>
    <w:rsid w:val="00F815B9"/>
    <w:rsid w:val="00F82350"/>
    <w:rsid w:val="00F8291F"/>
    <w:rsid w:val="00F87A3E"/>
    <w:rsid w:val="00F9124B"/>
    <w:rsid w:val="00F92142"/>
    <w:rsid w:val="00F93FDA"/>
    <w:rsid w:val="00F957B5"/>
    <w:rsid w:val="00FA0AE1"/>
    <w:rsid w:val="00FA0D6E"/>
    <w:rsid w:val="00FA3096"/>
    <w:rsid w:val="00FA393F"/>
    <w:rsid w:val="00FA425F"/>
    <w:rsid w:val="00FA5B41"/>
    <w:rsid w:val="00FA68D9"/>
    <w:rsid w:val="00FA75DF"/>
    <w:rsid w:val="00FB44C1"/>
    <w:rsid w:val="00FC18E3"/>
    <w:rsid w:val="00FC5280"/>
    <w:rsid w:val="00FC5914"/>
    <w:rsid w:val="00FC7883"/>
    <w:rsid w:val="00FC7B84"/>
    <w:rsid w:val="00FD0930"/>
    <w:rsid w:val="00FD1044"/>
    <w:rsid w:val="00FD15E3"/>
    <w:rsid w:val="00FD3ED1"/>
    <w:rsid w:val="00FD70C1"/>
    <w:rsid w:val="00FE00AC"/>
    <w:rsid w:val="00FE126D"/>
    <w:rsid w:val="00FE471F"/>
    <w:rsid w:val="00FE5331"/>
    <w:rsid w:val="00FE5CAC"/>
    <w:rsid w:val="00FE6021"/>
    <w:rsid w:val="00FE73E1"/>
    <w:rsid w:val="00FF1943"/>
    <w:rsid w:val="00FF22DC"/>
    <w:rsid w:val="00FF32B1"/>
    <w:rsid w:val="00FF55AF"/>
    <w:rsid w:val="00FF5927"/>
    <w:rsid w:val="00FF5F22"/>
    <w:rsid w:val="00FF67D6"/>
    <w:rsid w:val="00FF6D89"/>
    <w:rsid w:val="076A0789"/>
    <w:rsid w:val="094E28BF"/>
    <w:rsid w:val="20F3683C"/>
    <w:rsid w:val="2847BAF4"/>
    <w:rsid w:val="442D56D0"/>
    <w:rsid w:val="701A1037"/>
    <w:rsid w:val="7A86E24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535813"/>
  <w15:chartTrackingRefBased/>
  <w15:docId w15:val="{04872854-FF65-4CDF-BCBC-FF50C59D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5"/>
      </w:numPr>
      <w:spacing w:before="60" w:after="60" w:line="276" w:lineRule="auto"/>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aliases w:val="Bullet copy,Bullet point,Bullet-sub-body,Bulleted Para,Bulletr List Paragraph,DDM Gen Text,FooterText,L,List Paragraph - bullets,List Paragraph1,List Paragraph11,NFP GP Bulleted List,Paragraphe de liste1,Recommendation,bullet point list,列"/>
    <w:basedOn w:val="BodyText"/>
    <w:link w:val="ListParagraphChar"/>
    <w:uiPriority w:val="34"/>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link w:val="z-BottomofFormChar"/>
    <w:hidden/>
    <w:uiPriority w:val="99"/>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link w:val="z-TopofFormChar"/>
    <w:hidden/>
    <w:uiPriority w:val="99"/>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customStyle="1" w:styleId="normaltextrun">
    <w:name w:val="normaltextrun"/>
    <w:basedOn w:val="DefaultParagraphFont"/>
    <w:rsid w:val="00F957B5"/>
  </w:style>
  <w:style w:type="character" w:customStyle="1" w:styleId="eop">
    <w:name w:val="eop"/>
    <w:basedOn w:val="DefaultParagraphFont"/>
    <w:rsid w:val="00F957B5"/>
  </w:style>
  <w:style w:type="paragraph" w:customStyle="1" w:styleId="paragraph">
    <w:name w:val="paragraph"/>
    <w:basedOn w:val="Normal"/>
    <w:rsid w:val="00345F6D"/>
    <w:pPr>
      <w:spacing w:before="100" w:beforeAutospacing="1" w:after="100" w:afterAutospacing="1"/>
    </w:pPr>
    <w:rPr>
      <w:rFonts w:ascii="Times New Roman" w:hAnsi="Times New Roman"/>
      <w:sz w:val="24"/>
    </w:rPr>
  </w:style>
  <w:style w:type="character" w:customStyle="1" w:styleId="ListParagraphChar">
    <w:name w:val="List Paragraph Char"/>
    <w:aliases w:val="Bullet copy Char,Bullet point Char,Bullet-sub-body Char,Bulleted Para Char,Bulletr List Paragraph Char,DDM Gen Text Char,FooterText Char,L Char,List Paragraph - bullets Char,List Paragraph1 Char,List Paragraph11 Char,列 Char"/>
    <w:link w:val="ListParagraph"/>
    <w:uiPriority w:val="34"/>
    <w:rsid w:val="001D2A99"/>
    <w:rPr>
      <w:rFonts w:ascii="Arial" w:hAnsi="Arial"/>
      <w:sz w:val="22"/>
      <w:szCs w:val="24"/>
    </w:rPr>
  </w:style>
  <w:style w:type="character" w:customStyle="1" w:styleId="UnresolvedMention1">
    <w:name w:val="Unresolved Mention1"/>
    <w:basedOn w:val="DefaultParagraphFont"/>
    <w:uiPriority w:val="99"/>
    <w:semiHidden/>
    <w:unhideWhenUsed/>
    <w:rsid w:val="00143BC0"/>
    <w:rPr>
      <w:color w:val="605E5C"/>
      <w:shd w:val="clear" w:color="auto" w:fill="E1DFDD"/>
    </w:rPr>
  </w:style>
  <w:style w:type="character" w:styleId="CommentReference">
    <w:name w:val="annotation reference"/>
    <w:basedOn w:val="DefaultParagraphFont"/>
    <w:rsid w:val="00916C14"/>
    <w:rPr>
      <w:sz w:val="16"/>
      <w:szCs w:val="16"/>
    </w:rPr>
  </w:style>
  <w:style w:type="paragraph" w:styleId="CommentText">
    <w:name w:val="annotation text"/>
    <w:basedOn w:val="Normal"/>
    <w:link w:val="CommentTextChar"/>
    <w:rsid w:val="00916C14"/>
    <w:rPr>
      <w:sz w:val="20"/>
      <w:szCs w:val="20"/>
    </w:rPr>
  </w:style>
  <w:style w:type="character" w:customStyle="1" w:styleId="CommentTextChar">
    <w:name w:val="Comment Text Char"/>
    <w:basedOn w:val="DefaultParagraphFont"/>
    <w:link w:val="CommentText"/>
    <w:rsid w:val="00916C14"/>
    <w:rPr>
      <w:rFonts w:ascii="Arial" w:hAnsi="Arial"/>
    </w:rPr>
  </w:style>
  <w:style w:type="paragraph" w:styleId="CommentSubject">
    <w:name w:val="annotation subject"/>
    <w:basedOn w:val="CommentText"/>
    <w:next w:val="CommentText"/>
    <w:link w:val="CommentSubjectChar"/>
    <w:semiHidden/>
    <w:unhideWhenUsed/>
    <w:rsid w:val="00916C14"/>
    <w:rPr>
      <w:b/>
      <w:bCs/>
    </w:rPr>
  </w:style>
  <w:style w:type="character" w:customStyle="1" w:styleId="CommentSubjectChar">
    <w:name w:val="Comment Subject Char"/>
    <w:basedOn w:val="CommentTextChar"/>
    <w:link w:val="CommentSubject"/>
    <w:semiHidden/>
    <w:rsid w:val="00916C14"/>
    <w:rPr>
      <w:rFonts w:ascii="Arial" w:hAnsi="Arial"/>
      <w:b/>
      <w:bCs/>
    </w:rPr>
  </w:style>
  <w:style w:type="paragraph" w:styleId="BalloonText">
    <w:name w:val="Balloon Text"/>
    <w:basedOn w:val="Normal"/>
    <w:link w:val="BalloonTextChar"/>
    <w:semiHidden/>
    <w:unhideWhenUsed/>
    <w:rsid w:val="00951A70"/>
    <w:rPr>
      <w:rFonts w:ascii="Segoe UI" w:hAnsi="Segoe UI" w:cs="Segoe UI"/>
      <w:sz w:val="18"/>
      <w:szCs w:val="18"/>
    </w:rPr>
  </w:style>
  <w:style w:type="character" w:customStyle="1" w:styleId="BalloonTextChar">
    <w:name w:val="Balloon Text Char"/>
    <w:basedOn w:val="DefaultParagraphFont"/>
    <w:link w:val="BalloonText"/>
    <w:semiHidden/>
    <w:rsid w:val="00951A70"/>
    <w:rPr>
      <w:rFonts w:ascii="Segoe UI" w:hAnsi="Segoe UI" w:cs="Segoe UI"/>
      <w:sz w:val="18"/>
      <w:szCs w:val="18"/>
    </w:rPr>
  </w:style>
  <w:style w:type="paragraph" w:styleId="Revision">
    <w:name w:val="Revision"/>
    <w:hidden/>
    <w:uiPriority w:val="99"/>
    <w:semiHidden/>
    <w:rsid w:val="000F3ABD"/>
    <w:rPr>
      <w:rFonts w:ascii="Arial" w:hAnsi="Arial"/>
      <w:sz w:val="22"/>
      <w:szCs w:val="24"/>
    </w:rPr>
  </w:style>
  <w:style w:type="character" w:customStyle="1" w:styleId="line-clamp-1">
    <w:name w:val="line-clamp-1"/>
    <w:basedOn w:val="DefaultParagraphFont"/>
    <w:rsid w:val="007A6DA9"/>
  </w:style>
  <w:style w:type="character" w:customStyle="1" w:styleId="z-TopofFormChar">
    <w:name w:val="z-Top of Form Char"/>
    <w:basedOn w:val="DefaultParagraphFont"/>
    <w:link w:val="z-TopofForm"/>
    <w:uiPriority w:val="99"/>
    <w:rsid w:val="00604FAE"/>
    <w:rPr>
      <w:rFonts w:ascii="Arial" w:hAnsi="Arial" w:cs="Arial"/>
      <w:vanish/>
      <w:sz w:val="16"/>
      <w:szCs w:val="16"/>
    </w:rPr>
  </w:style>
  <w:style w:type="character" w:customStyle="1" w:styleId="z-BottomofFormChar">
    <w:name w:val="z-Bottom of Form Char"/>
    <w:basedOn w:val="DefaultParagraphFont"/>
    <w:link w:val="z-BottomofForm"/>
    <w:uiPriority w:val="99"/>
    <w:rsid w:val="00604FAE"/>
    <w:rPr>
      <w:rFonts w:ascii="Arial" w:hAnsi="Arial" w:cs="Arial"/>
      <w:vanish/>
      <w:sz w:val="16"/>
      <w:szCs w:val="16"/>
    </w:rPr>
  </w:style>
  <w:style w:type="character" w:styleId="UnresolvedMention">
    <w:name w:val="Unresolved Mention"/>
    <w:basedOn w:val="DefaultParagraphFont"/>
    <w:rsid w:val="0060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8234">
      <w:bodyDiv w:val="1"/>
      <w:marLeft w:val="0"/>
      <w:marRight w:val="0"/>
      <w:marTop w:val="0"/>
      <w:marBottom w:val="0"/>
      <w:divBdr>
        <w:top w:val="none" w:sz="0" w:space="0" w:color="auto"/>
        <w:left w:val="none" w:sz="0" w:space="0" w:color="auto"/>
        <w:bottom w:val="none" w:sz="0" w:space="0" w:color="auto"/>
        <w:right w:val="none" w:sz="0" w:space="0" w:color="auto"/>
      </w:divBdr>
      <w:divsChild>
        <w:div w:id="403382167">
          <w:marLeft w:val="0"/>
          <w:marRight w:val="0"/>
          <w:marTop w:val="0"/>
          <w:marBottom w:val="0"/>
          <w:divBdr>
            <w:top w:val="none" w:sz="0" w:space="0" w:color="auto"/>
            <w:left w:val="none" w:sz="0" w:space="0" w:color="auto"/>
            <w:bottom w:val="none" w:sz="0" w:space="0" w:color="auto"/>
            <w:right w:val="none" w:sz="0" w:space="0" w:color="auto"/>
          </w:divBdr>
          <w:divsChild>
            <w:div w:id="863978478">
              <w:marLeft w:val="0"/>
              <w:marRight w:val="0"/>
              <w:marTop w:val="0"/>
              <w:marBottom w:val="0"/>
              <w:divBdr>
                <w:top w:val="none" w:sz="0" w:space="0" w:color="auto"/>
                <w:left w:val="none" w:sz="0" w:space="0" w:color="auto"/>
                <w:bottom w:val="none" w:sz="0" w:space="0" w:color="auto"/>
                <w:right w:val="none" w:sz="0" w:space="0" w:color="auto"/>
              </w:divBdr>
              <w:divsChild>
                <w:div w:id="2015984950">
                  <w:marLeft w:val="0"/>
                  <w:marRight w:val="0"/>
                  <w:marTop w:val="0"/>
                  <w:marBottom w:val="0"/>
                  <w:divBdr>
                    <w:top w:val="none" w:sz="0" w:space="0" w:color="auto"/>
                    <w:left w:val="none" w:sz="0" w:space="0" w:color="auto"/>
                    <w:bottom w:val="none" w:sz="0" w:space="0" w:color="auto"/>
                    <w:right w:val="none" w:sz="0" w:space="0" w:color="auto"/>
                  </w:divBdr>
                  <w:divsChild>
                    <w:div w:id="437800702">
                      <w:marLeft w:val="0"/>
                      <w:marRight w:val="0"/>
                      <w:marTop w:val="0"/>
                      <w:marBottom w:val="0"/>
                      <w:divBdr>
                        <w:top w:val="none" w:sz="0" w:space="0" w:color="auto"/>
                        <w:left w:val="none" w:sz="0" w:space="0" w:color="auto"/>
                        <w:bottom w:val="none" w:sz="0" w:space="0" w:color="auto"/>
                        <w:right w:val="none" w:sz="0" w:space="0" w:color="auto"/>
                      </w:divBdr>
                      <w:divsChild>
                        <w:div w:id="1208764325">
                          <w:marLeft w:val="0"/>
                          <w:marRight w:val="0"/>
                          <w:marTop w:val="0"/>
                          <w:marBottom w:val="0"/>
                          <w:divBdr>
                            <w:top w:val="none" w:sz="0" w:space="0" w:color="auto"/>
                            <w:left w:val="none" w:sz="0" w:space="0" w:color="auto"/>
                            <w:bottom w:val="none" w:sz="0" w:space="0" w:color="auto"/>
                            <w:right w:val="none" w:sz="0" w:space="0" w:color="auto"/>
                          </w:divBdr>
                          <w:divsChild>
                            <w:div w:id="1449079066">
                              <w:marLeft w:val="0"/>
                              <w:marRight w:val="0"/>
                              <w:marTop w:val="0"/>
                              <w:marBottom w:val="0"/>
                              <w:divBdr>
                                <w:top w:val="none" w:sz="0" w:space="0" w:color="auto"/>
                                <w:left w:val="none" w:sz="0" w:space="0" w:color="auto"/>
                                <w:bottom w:val="none" w:sz="0" w:space="0" w:color="auto"/>
                                <w:right w:val="none" w:sz="0" w:space="0" w:color="auto"/>
                              </w:divBdr>
                              <w:divsChild>
                                <w:div w:id="1316378295">
                                  <w:marLeft w:val="0"/>
                                  <w:marRight w:val="0"/>
                                  <w:marTop w:val="0"/>
                                  <w:marBottom w:val="0"/>
                                  <w:divBdr>
                                    <w:top w:val="none" w:sz="0" w:space="0" w:color="auto"/>
                                    <w:left w:val="none" w:sz="0" w:space="0" w:color="auto"/>
                                    <w:bottom w:val="none" w:sz="0" w:space="0" w:color="auto"/>
                                    <w:right w:val="none" w:sz="0" w:space="0" w:color="auto"/>
                                  </w:divBdr>
                                  <w:divsChild>
                                    <w:div w:id="1594434074">
                                      <w:marLeft w:val="0"/>
                                      <w:marRight w:val="0"/>
                                      <w:marTop w:val="0"/>
                                      <w:marBottom w:val="0"/>
                                      <w:divBdr>
                                        <w:top w:val="none" w:sz="0" w:space="0" w:color="auto"/>
                                        <w:left w:val="none" w:sz="0" w:space="0" w:color="auto"/>
                                        <w:bottom w:val="none" w:sz="0" w:space="0" w:color="auto"/>
                                        <w:right w:val="none" w:sz="0" w:space="0" w:color="auto"/>
                                      </w:divBdr>
                                      <w:divsChild>
                                        <w:div w:id="893540834">
                                          <w:marLeft w:val="0"/>
                                          <w:marRight w:val="0"/>
                                          <w:marTop w:val="0"/>
                                          <w:marBottom w:val="0"/>
                                          <w:divBdr>
                                            <w:top w:val="none" w:sz="0" w:space="0" w:color="auto"/>
                                            <w:left w:val="none" w:sz="0" w:space="0" w:color="auto"/>
                                            <w:bottom w:val="none" w:sz="0" w:space="0" w:color="auto"/>
                                            <w:right w:val="none" w:sz="0" w:space="0" w:color="auto"/>
                                          </w:divBdr>
                                          <w:divsChild>
                                            <w:div w:id="2114587727">
                                              <w:marLeft w:val="0"/>
                                              <w:marRight w:val="0"/>
                                              <w:marTop w:val="0"/>
                                              <w:marBottom w:val="0"/>
                                              <w:divBdr>
                                                <w:top w:val="none" w:sz="0" w:space="0" w:color="auto"/>
                                                <w:left w:val="none" w:sz="0" w:space="0" w:color="auto"/>
                                                <w:bottom w:val="none" w:sz="0" w:space="0" w:color="auto"/>
                                                <w:right w:val="none" w:sz="0" w:space="0" w:color="auto"/>
                                              </w:divBdr>
                                              <w:divsChild>
                                                <w:div w:id="1956330280">
                                                  <w:marLeft w:val="0"/>
                                                  <w:marRight w:val="0"/>
                                                  <w:marTop w:val="0"/>
                                                  <w:marBottom w:val="0"/>
                                                  <w:divBdr>
                                                    <w:top w:val="none" w:sz="0" w:space="0" w:color="auto"/>
                                                    <w:left w:val="none" w:sz="0" w:space="0" w:color="auto"/>
                                                    <w:bottom w:val="none" w:sz="0" w:space="0" w:color="auto"/>
                                                    <w:right w:val="none" w:sz="0" w:space="0" w:color="auto"/>
                                                  </w:divBdr>
                                                  <w:divsChild>
                                                    <w:div w:id="1833108093">
                                                      <w:marLeft w:val="0"/>
                                                      <w:marRight w:val="0"/>
                                                      <w:marTop w:val="0"/>
                                                      <w:marBottom w:val="0"/>
                                                      <w:divBdr>
                                                        <w:top w:val="none" w:sz="0" w:space="0" w:color="auto"/>
                                                        <w:left w:val="none" w:sz="0" w:space="0" w:color="auto"/>
                                                        <w:bottom w:val="none" w:sz="0" w:space="0" w:color="auto"/>
                                                        <w:right w:val="none" w:sz="0" w:space="0" w:color="auto"/>
                                                      </w:divBdr>
                                                      <w:divsChild>
                                                        <w:div w:id="192110531">
                                                          <w:marLeft w:val="0"/>
                                                          <w:marRight w:val="0"/>
                                                          <w:marTop w:val="0"/>
                                                          <w:marBottom w:val="0"/>
                                                          <w:divBdr>
                                                            <w:top w:val="none" w:sz="0" w:space="0" w:color="auto"/>
                                                            <w:left w:val="none" w:sz="0" w:space="0" w:color="auto"/>
                                                            <w:bottom w:val="none" w:sz="0" w:space="0" w:color="auto"/>
                                                            <w:right w:val="none" w:sz="0" w:space="0" w:color="auto"/>
                                                          </w:divBdr>
                                                          <w:divsChild>
                                                            <w:div w:id="7343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94943">
          <w:marLeft w:val="0"/>
          <w:marRight w:val="0"/>
          <w:marTop w:val="0"/>
          <w:marBottom w:val="0"/>
          <w:divBdr>
            <w:top w:val="none" w:sz="0" w:space="0" w:color="auto"/>
            <w:left w:val="none" w:sz="0" w:space="0" w:color="auto"/>
            <w:bottom w:val="none" w:sz="0" w:space="0" w:color="auto"/>
            <w:right w:val="none" w:sz="0" w:space="0" w:color="auto"/>
          </w:divBdr>
          <w:divsChild>
            <w:div w:id="802306236">
              <w:marLeft w:val="0"/>
              <w:marRight w:val="0"/>
              <w:marTop w:val="0"/>
              <w:marBottom w:val="0"/>
              <w:divBdr>
                <w:top w:val="none" w:sz="0" w:space="0" w:color="auto"/>
                <w:left w:val="none" w:sz="0" w:space="0" w:color="auto"/>
                <w:bottom w:val="none" w:sz="0" w:space="0" w:color="auto"/>
                <w:right w:val="none" w:sz="0" w:space="0" w:color="auto"/>
              </w:divBdr>
              <w:divsChild>
                <w:div w:id="1834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training/employers/gateway-schoo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ISP@desbt.qld.gov.au" TargetMode="External"/><Relationship Id="rId7" Type="http://schemas.openxmlformats.org/officeDocument/2006/relationships/styles" Target="styles.xml"/><Relationship Id="rId12" Type="http://schemas.openxmlformats.org/officeDocument/2006/relationships/hyperlink" Target="https://schoolsdirectory.eq.edu.a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sbt.qld.gov.au/training/employers/gateway-schools" TargetMode="External"/><Relationship Id="rId22" Type="http://schemas.openxmlformats.org/officeDocument/2006/relationships/hyperlink" Target="mailto:GISP@desbt.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gsx\DSITIA\Industry%20Engagement%20-%20GISP\01.%20Program%20Governance\00.%20Program%20documents\GISP%20funding%20guidelines%202024.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5383d1-14b0-49c7-8e87-2fd5f3eba214">DESBTSD1000-182604967-12908</_dlc_DocId>
    <_dlc_DocIdUrl xmlns="095383d1-14b0-49c7-8e87-2fd5f3eba214">
      <Url>https://dsitiaqld.sharepoint.com/sites/desbt-service-delivery/IE/_layouts/15/DocIdRedir.aspx?ID=DESBTSD1000-182604967-12908</Url>
      <Description>DESBTSD1000-182604967-12908</Description>
    </_dlc_DocIdUrl>
    <TaxCatchAll xmlns="095383d1-14b0-49c7-8e87-2fd5f3eba214" xsi:nil="true"/>
    <SharedWithUsers xmlns="095383d1-14b0-49c7-8e87-2fd5f3eba214">
      <UserInfo>
        <DisplayName>Melinda Toze</DisplayName>
        <AccountId>269</AccountId>
        <AccountType/>
      </UserInfo>
      <UserInfo>
        <DisplayName>Sunwoo Jung</DisplayName>
        <AccountId>806</AccountId>
        <AccountType/>
      </UserInfo>
    </SharedWithUsers>
    <lcf76f155ced4ddcb4097134ff3c332f xmlns="9110ea4e-7947-4aa2-b445-b8e72cca2d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C3484555B1FCC43B99E9F23A7243C57" ma:contentTypeVersion="18" ma:contentTypeDescription="Create a new document." ma:contentTypeScope="" ma:versionID="f6e70704ba73a4607e5b784a0fd93b3c">
  <xsd:schema xmlns:xsd="http://www.w3.org/2001/XMLSchema" xmlns:xs="http://www.w3.org/2001/XMLSchema" xmlns:p="http://schemas.microsoft.com/office/2006/metadata/properties" xmlns:ns2="095383d1-14b0-49c7-8e87-2fd5f3eba214" xmlns:ns3="9110ea4e-7947-4aa2-b445-b8e72cca2dd6" targetNamespace="http://schemas.microsoft.com/office/2006/metadata/properties" ma:root="true" ma:fieldsID="0e49091fdc89e81d88b71676a306e9a7" ns2:_="" ns3:_="">
    <xsd:import namespace="095383d1-14b0-49c7-8e87-2fd5f3eba214"/>
    <xsd:import namespace="9110ea4e-7947-4aa2-b445-b8e72cca2d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383d1-14b0-49c7-8e87-2fd5f3eba2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4175f5-a241-4ab5-9f1e-230515bacb8e}" ma:internalName="TaxCatchAll" ma:showField="CatchAllData" ma:web="095383d1-14b0-49c7-8e87-2fd5f3eba2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10ea4e-7947-4aa2-b445-b8e72cca2d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095383d1-14b0-49c7-8e87-2fd5f3eba214"/>
    <ds:schemaRef ds:uri="9110ea4e-7947-4aa2-b445-b8e72cca2dd6"/>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4.xml><?xml version="1.0" encoding="utf-8"?>
<ds:datastoreItem xmlns:ds="http://schemas.openxmlformats.org/officeDocument/2006/customXml" ds:itemID="{42B1203F-FFFF-4A30-8AD9-ABB76C527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383d1-14b0-49c7-8e87-2fd5f3eba214"/>
    <ds:schemaRef ds:uri="9110ea4e-7947-4aa2-b445-b8e72cca2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1B6D2E-12ED-4D02-A1FC-B1F6F4A4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GISP funding guidelines 2024</Template>
  <TotalTime>0</TotalTime>
  <Pages>7</Pages>
  <Words>1851</Words>
  <Characters>12054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All Colours_A4 Document Template</vt:lpstr>
    </vt:vector>
  </TitlesOfParts>
  <Company>Department of Employment, Small Business and Training</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Colours_A4 Document Template</dc:title>
  <dc:creator>Sunwoo Jung</dc:creator>
  <cp:lastModifiedBy>Sunwoo Jung</cp:lastModifiedBy>
  <cp:revision>4</cp:revision>
  <cp:lastPrinted>2024-06-26T07:04:00Z</cp:lastPrinted>
  <dcterms:created xsi:type="dcterms:W3CDTF">2024-07-11T03:47:00Z</dcterms:created>
  <dcterms:modified xsi:type="dcterms:W3CDTF">2024-07-11T04:38:00Z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0x010100EC3484555B1FCC43B99E9F23A7243C57</vt:lpwstr>
  </property>
  <property fmtid="{D5CDD505-2E9C-101B-9397-08002B2CF9AE}" pid="3" name="Division">
    <vt:lpwstr>Engagement</vt:lpwstr>
  </property>
  <property fmtid="{D5CDD505-2E9C-101B-9397-08002B2CF9AE}" pid="4" name="DocumentContact">
    <vt:lpwstr>mailto:communications@desbt.qld.gov.au, Director, Communications</vt:lpwstr>
  </property>
  <property fmtid="{D5CDD505-2E9C-101B-9397-08002B2CF9AE}" pid="5" name="DocumentOwner">
    <vt:lpwstr>298;#Louise Desantis</vt:lpwstr>
  </property>
  <property fmtid="{D5CDD505-2E9C-101B-9397-08002B2CF9AE}" pid="6" name="FormTitle">
    <vt:lpwstr>A4 Document Template</vt:lpwstr>
  </property>
  <property fmtid="{D5CDD505-2E9C-101B-9397-08002B2CF9AE}" pid="7" name="MediaServiceImageTags">
    <vt:lpwstr/>
  </property>
  <property fmtid="{D5CDD505-2E9C-101B-9397-08002B2CF9AE}" pid="8" name="ReferenceNumber">
    <vt:lpwstr>COM.03</vt:lpwstr>
  </property>
  <property fmtid="{D5CDD505-2E9C-101B-9397-08002B2CF9AE}" pid="9" name="_dlc_DocIdItemGuid">
    <vt:lpwstr>42d2c23d-f995-4445-8da6-ebdde5c038ec</vt:lpwstr>
  </property>
</Properties>
</file>